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autoSpaceDE w:val="0"/>
        <w:autoSpaceDN w:val="0"/>
        <w:spacing w:before="132" w:line="500" w:lineRule="exact"/>
        <w:ind w:left="1567" w:hanging="1567" w:hangingChars="494"/>
        <w:rPr>
          <w:rFonts w:eastAsia="方正楷体_GBK"/>
          <w:b/>
          <w:sz w:val="32"/>
          <w:szCs w:val="32"/>
        </w:rPr>
      </w:pPr>
      <w:r>
        <w:rPr>
          <w:rFonts w:eastAsia="方正楷体_GBK"/>
          <w:b/>
          <w:spacing w:val="-2"/>
          <w:kern w:val="10"/>
          <w:sz w:val="32"/>
          <w:szCs w:val="32"/>
        </w:rPr>
        <w:t>项目名称：重庆</w:t>
      </w:r>
      <w:r>
        <w:rPr>
          <w:rFonts w:eastAsia="方正楷体_GBK"/>
          <w:b/>
          <w:sz w:val="32"/>
          <w:szCs w:val="32"/>
        </w:rPr>
        <w:t>机电控股（集团）公司及所属企业2023年二、三、四季度电力市场化交易（含政府基金附加、输配电、辅助服务费）集中采购自主公开招标</w:t>
      </w:r>
    </w:p>
    <w:p>
      <w:pPr>
        <w:autoSpaceDE w:val="0"/>
        <w:autoSpaceDN w:val="0"/>
        <w:spacing w:before="132" w:line="500" w:lineRule="exact"/>
        <w:rPr>
          <w:b/>
          <w:kern w:val="10"/>
          <w:sz w:val="48"/>
        </w:rPr>
      </w:pPr>
      <w:r>
        <w:rPr>
          <w:rFonts w:eastAsia="方正楷体_GBK"/>
          <w:b/>
          <w:spacing w:val="-2"/>
          <w:kern w:val="10"/>
          <w:sz w:val="32"/>
          <w:szCs w:val="32"/>
        </w:rPr>
        <w:t>项目编号：SPWZ</w:t>
      </w:r>
      <w:r>
        <w:rPr>
          <w:rFonts w:hint="eastAsia" w:eastAsia="方正楷体_GBK"/>
          <w:b/>
          <w:spacing w:val="-2"/>
          <w:kern w:val="10"/>
          <w:sz w:val="32"/>
          <w:szCs w:val="32"/>
        </w:rPr>
        <w:t>-</w:t>
      </w:r>
      <w:r>
        <w:rPr>
          <w:rFonts w:eastAsia="方正楷体_GBK"/>
          <w:b/>
          <w:spacing w:val="-2"/>
          <w:kern w:val="10"/>
          <w:sz w:val="32"/>
          <w:szCs w:val="32"/>
        </w:rPr>
        <w:t>XX-2023-01</w:t>
      </w:r>
    </w:p>
    <w:p>
      <w:pPr>
        <w:pStyle w:val="4"/>
        <w:spacing w:line="800" w:lineRule="exact"/>
        <w:jc w:val="center"/>
        <w:rPr>
          <w:b/>
          <w:kern w:val="10"/>
          <w:sz w:val="48"/>
        </w:rPr>
      </w:pPr>
    </w:p>
    <w:p>
      <w:pPr>
        <w:pStyle w:val="4"/>
        <w:spacing w:line="800" w:lineRule="exact"/>
        <w:jc w:val="center"/>
        <w:rPr>
          <w:b/>
          <w:kern w:val="10"/>
          <w:sz w:val="48"/>
        </w:rPr>
      </w:pPr>
    </w:p>
    <w:p>
      <w:pPr>
        <w:pStyle w:val="4"/>
        <w:spacing w:line="800" w:lineRule="exact"/>
        <w:jc w:val="center"/>
        <w:rPr>
          <w:b/>
          <w:kern w:val="10"/>
          <w:sz w:val="48"/>
        </w:rPr>
      </w:pPr>
    </w:p>
    <w:p>
      <w:pPr>
        <w:jc w:val="center"/>
        <w:rPr>
          <w:rFonts w:eastAsia="方正小标宋_GBK"/>
          <w:b/>
          <w:spacing w:val="60"/>
          <w:sz w:val="84"/>
          <w:szCs w:val="84"/>
        </w:rPr>
      </w:pPr>
      <w:r>
        <w:rPr>
          <w:rFonts w:eastAsia="方正小标宋_GBK"/>
          <w:b/>
          <w:spacing w:val="60"/>
          <w:sz w:val="84"/>
          <w:szCs w:val="84"/>
        </w:rPr>
        <w:t>招标文件</w:t>
      </w:r>
    </w:p>
    <w:p>
      <w:pPr>
        <w:jc w:val="center"/>
        <w:rPr>
          <w:rFonts w:eastAsia="隶书"/>
          <w:b/>
          <w:sz w:val="84"/>
        </w:rPr>
      </w:pPr>
    </w:p>
    <w:p>
      <w:pPr>
        <w:jc w:val="center"/>
        <w:rPr>
          <w:rFonts w:eastAsia="隶书"/>
          <w:b/>
          <w:sz w:val="84"/>
        </w:rPr>
      </w:pPr>
    </w:p>
    <w:p>
      <w:pPr>
        <w:rPr>
          <w:rFonts w:eastAsia="隶书"/>
          <w:b/>
          <w:sz w:val="84"/>
        </w:rPr>
      </w:pPr>
    </w:p>
    <w:p>
      <w:pPr>
        <w:spacing w:line="520" w:lineRule="exact"/>
        <w:ind w:left="1005"/>
        <w:rPr>
          <w:b/>
          <w:sz w:val="36"/>
        </w:rPr>
      </w:pPr>
    </w:p>
    <w:p>
      <w:pPr>
        <w:spacing w:line="720" w:lineRule="auto"/>
        <w:ind w:left="315" w:leftChars="150" w:firstLine="116" w:firstLineChars="32"/>
        <w:rPr>
          <w:rFonts w:eastAsia="方正仿宋_GBK"/>
          <w:b/>
          <w:sz w:val="36"/>
          <w:szCs w:val="36"/>
          <w:u w:val="single"/>
        </w:rPr>
      </w:pPr>
      <w:r>
        <w:rPr>
          <w:rFonts w:eastAsia="方正仿宋_GBK"/>
          <w:b/>
          <w:sz w:val="36"/>
          <w:szCs w:val="36"/>
        </w:rPr>
        <w:t>招标人：</w:t>
      </w:r>
      <w:r>
        <w:rPr>
          <w:rFonts w:eastAsia="方正仿宋_GBK"/>
          <w:b/>
          <w:sz w:val="36"/>
          <w:szCs w:val="36"/>
          <w:u w:val="single"/>
        </w:rPr>
        <w:t xml:space="preserve">重庆盛普物资有限公司 </w:t>
      </w:r>
      <w:r>
        <w:rPr>
          <w:rFonts w:eastAsia="方正仿宋_GBK"/>
          <w:b/>
          <w:sz w:val="36"/>
          <w:szCs w:val="36"/>
        </w:rPr>
        <w:t>（盖章）</w:t>
      </w:r>
    </w:p>
    <w:p>
      <w:pPr>
        <w:spacing w:line="720" w:lineRule="auto"/>
        <w:jc w:val="center"/>
        <w:rPr>
          <w:rFonts w:hint="eastAsia" w:ascii="仿宋" w:hAnsi="仿宋" w:eastAsia="仿宋"/>
          <w:b/>
          <w:sz w:val="36"/>
          <w:szCs w:val="36"/>
        </w:rPr>
      </w:pPr>
      <w:r>
        <w:rPr>
          <w:rFonts w:eastAsia="方正仿宋_GBK"/>
          <w:b/>
          <w:sz w:val="36"/>
          <w:szCs w:val="36"/>
        </w:rPr>
        <w:t>2023年02月23日</w:t>
      </w:r>
    </w:p>
    <w:p/>
    <w:p>
      <w:pPr>
        <w:spacing w:line="620" w:lineRule="exact"/>
        <w:rPr>
          <w:rFonts w:eastAsia="仿宋_GB2312"/>
          <w:sz w:val="28"/>
          <w:szCs w:val="28"/>
        </w:rPr>
      </w:pPr>
    </w:p>
    <w:p>
      <w:pPr>
        <w:spacing w:line="620" w:lineRule="exact"/>
        <w:rPr>
          <w:rFonts w:eastAsia="仿宋_GB2312"/>
          <w:sz w:val="28"/>
          <w:szCs w:val="28"/>
        </w:rPr>
      </w:pPr>
    </w:p>
    <w:p>
      <w:pPr>
        <w:jc w:val="center"/>
        <w:rPr>
          <w:rFonts w:eastAsia="隶书"/>
          <w:b/>
          <w:sz w:val="84"/>
          <w:szCs w:val="84"/>
        </w:rPr>
      </w:pPr>
      <w:r>
        <w:rPr>
          <w:rFonts w:eastAsia="隶书"/>
          <w:b/>
          <w:sz w:val="84"/>
          <w:szCs w:val="84"/>
        </w:rPr>
        <w:t>目  录</w:t>
      </w:r>
    </w:p>
    <w:p>
      <w:pPr>
        <w:spacing w:line="900" w:lineRule="exact"/>
        <w:ind w:left="315" w:leftChars="150" w:firstLine="361" w:firstLineChars="100"/>
        <w:rPr>
          <w:rFonts w:eastAsia="仿宋_GB2312"/>
          <w:b/>
          <w:sz w:val="36"/>
          <w:szCs w:val="36"/>
        </w:rPr>
      </w:pPr>
    </w:p>
    <w:p>
      <w:pPr>
        <w:spacing w:line="900" w:lineRule="exact"/>
        <w:rPr>
          <w:rFonts w:eastAsia="楷体"/>
          <w:b/>
          <w:sz w:val="36"/>
          <w:szCs w:val="36"/>
        </w:rPr>
      </w:pPr>
      <w:r>
        <w:rPr>
          <w:rFonts w:eastAsia="楷体"/>
          <w:b/>
          <w:sz w:val="36"/>
          <w:szCs w:val="36"/>
        </w:rPr>
        <w:t>第一部分…………………………………投标人须知</w:t>
      </w:r>
    </w:p>
    <w:p>
      <w:pPr>
        <w:spacing w:line="900" w:lineRule="exact"/>
        <w:ind w:firstLine="640" w:firstLineChars="200"/>
        <w:jc w:val="left"/>
        <w:rPr>
          <w:rFonts w:eastAsia="楷体"/>
          <w:bCs/>
          <w:sz w:val="32"/>
          <w:szCs w:val="32"/>
        </w:rPr>
      </w:pPr>
      <w:r>
        <w:rPr>
          <w:rFonts w:eastAsia="楷体"/>
          <w:bCs/>
          <w:sz w:val="32"/>
          <w:szCs w:val="32"/>
        </w:rPr>
        <w:t>附件1……………………………《投标人须知前附表》</w:t>
      </w:r>
    </w:p>
    <w:p>
      <w:pPr>
        <w:spacing w:line="900" w:lineRule="exact"/>
        <w:ind w:firstLine="640" w:firstLineChars="200"/>
        <w:jc w:val="left"/>
        <w:rPr>
          <w:rFonts w:eastAsia="楷体"/>
          <w:bCs/>
          <w:sz w:val="32"/>
          <w:szCs w:val="32"/>
        </w:rPr>
      </w:pPr>
      <w:r>
        <w:rPr>
          <w:rFonts w:eastAsia="楷体"/>
          <w:bCs/>
          <w:sz w:val="32"/>
          <w:szCs w:val="32"/>
        </w:rPr>
        <w:t>附件2……………………………………《投标报价表》</w:t>
      </w:r>
    </w:p>
    <w:p>
      <w:pPr>
        <w:spacing w:line="900" w:lineRule="exact"/>
        <w:rPr>
          <w:rFonts w:eastAsia="楷体"/>
          <w:b/>
          <w:sz w:val="36"/>
          <w:szCs w:val="36"/>
        </w:rPr>
      </w:pPr>
      <w:r>
        <w:rPr>
          <w:rFonts w:eastAsia="楷体"/>
          <w:b/>
          <w:sz w:val="36"/>
          <w:szCs w:val="36"/>
        </w:rPr>
        <w:t>第二部分……………………………………评标办法</w:t>
      </w:r>
    </w:p>
    <w:p>
      <w:pPr>
        <w:spacing w:line="900" w:lineRule="exact"/>
        <w:ind w:firstLine="640" w:firstLineChars="200"/>
        <w:rPr>
          <w:rFonts w:eastAsia="楷体"/>
          <w:bCs/>
          <w:sz w:val="32"/>
          <w:szCs w:val="32"/>
        </w:rPr>
      </w:pPr>
      <w:r>
        <w:rPr>
          <w:rFonts w:eastAsia="楷体"/>
          <w:bCs/>
          <w:sz w:val="32"/>
          <w:szCs w:val="32"/>
        </w:rPr>
        <w:t>附件1………………………………《评标办法前附表》</w:t>
      </w:r>
    </w:p>
    <w:p>
      <w:pPr>
        <w:spacing w:line="900" w:lineRule="exact"/>
        <w:rPr>
          <w:rFonts w:eastAsia="楷体"/>
          <w:b/>
          <w:sz w:val="36"/>
          <w:szCs w:val="36"/>
        </w:rPr>
      </w:pPr>
      <w:r>
        <w:rPr>
          <w:rFonts w:eastAsia="楷体"/>
          <w:b/>
          <w:sz w:val="36"/>
          <w:szCs w:val="36"/>
        </w:rPr>
        <w:t>第三部分……………………………合同条款及格式</w:t>
      </w:r>
    </w:p>
    <w:p>
      <w:pPr>
        <w:spacing w:line="900" w:lineRule="exact"/>
        <w:rPr>
          <w:rFonts w:eastAsia="楷体"/>
          <w:b/>
          <w:sz w:val="36"/>
          <w:szCs w:val="36"/>
        </w:rPr>
      </w:pPr>
      <w:r>
        <w:rPr>
          <w:rFonts w:eastAsia="楷体"/>
          <w:b/>
          <w:sz w:val="36"/>
          <w:szCs w:val="36"/>
        </w:rPr>
        <w:t>第四部分……………………………………其他要求</w:t>
      </w:r>
    </w:p>
    <w:p>
      <w:pPr>
        <w:spacing w:line="900" w:lineRule="exact"/>
        <w:ind w:firstLine="640" w:firstLineChars="200"/>
        <w:rPr>
          <w:rFonts w:eastAsia="楷体"/>
          <w:bCs/>
          <w:sz w:val="32"/>
          <w:szCs w:val="32"/>
        </w:rPr>
      </w:pPr>
      <w:r>
        <w:rPr>
          <w:rFonts w:eastAsia="楷体"/>
          <w:bCs/>
          <w:sz w:val="32"/>
          <w:szCs w:val="32"/>
        </w:rPr>
        <w:t>附件1…………………………………………《投标函》</w:t>
      </w:r>
    </w:p>
    <w:p>
      <w:pPr>
        <w:spacing w:line="900" w:lineRule="exact"/>
        <w:ind w:firstLine="640" w:firstLineChars="200"/>
        <w:rPr>
          <w:rFonts w:eastAsia="楷体"/>
          <w:bCs/>
          <w:sz w:val="32"/>
          <w:szCs w:val="32"/>
        </w:rPr>
      </w:pPr>
      <w:r>
        <w:rPr>
          <w:rFonts w:eastAsia="楷体"/>
          <w:bCs/>
          <w:sz w:val="32"/>
          <w:szCs w:val="32"/>
        </w:rPr>
        <w:t>附件2……………《法定代表身份证明及授权委托书》</w:t>
      </w:r>
    </w:p>
    <w:p>
      <w:pPr>
        <w:spacing w:line="900" w:lineRule="exact"/>
        <w:ind w:firstLine="640" w:firstLineChars="200"/>
        <w:rPr>
          <w:rFonts w:eastAsia="楷体"/>
          <w:bCs/>
          <w:sz w:val="32"/>
          <w:szCs w:val="32"/>
        </w:rPr>
      </w:pPr>
      <w:r>
        <w:rPr>
          <w:rFonts w:eastAsia="楷体"/>
          <w:bCs/>
          <w:sz w:val="32"/>
          <w:szCs w:val="32"/>
        </w:rPr>
        <w:t>附件3…………………………《可提供增值服务证明》</w:t>
      </w:r>
    </w:p>
    <w:p>
      <w:pPr>
        <w:spacing w:line="900" w:lineRule="exact"/>
        <w:ind w:firstLine="640" w:firstLineChars="200"/>
        <w:rPr>
          <w:rFonts w:eastAsia="楷体"/>
          <w:bCs/>
          <w:sz w:val="32"/>
          <w:szCs w:val="32"/>
        </w:rPr>
      </w:pPr>
      <w:r>
        <w:rPr>
          <w:rFonts w:eastAsia="楷体"/>
          <w:bCs/>
          <w:sz w:val="32"/>
          <w:szCs w:val="32"/>
        </w:rPr>
        <w:t>附件4……………………………………《投标报价表》</w:t>
      </w:r>
    </w:p>
    <w:p>
      <w:pPr>
        <w:rPr>
          <w:rFonts w:eastAsia="楷体"/>
          <w:b/>
          <w:sz w:val="32"/>
          <w:szCs w:val="32"/>
        </w:rPr>
      </w:pPr>
    </w:p>
    <w:p>
      <w:pPr>
        <w:rPr>
          <w:rFonts w:eastAsia="楷体"/>
        </w:rPr>
      </w:pPr>
    </w:p>
    <w:p>
      <w:pPr>
        <w:pStyle w:val="2"/>
        <w:spacing w:line="540" w:lineRule="exact"/>
        <w:jc w:val="center"/>
        <w:rPr>
          <w:rFonts w:ascii="Times New Roman" w:hAnsi="Times New Roman" w:eastAsia="方正小标宋_GBK"/>
          <w:b w:val="0"/>
          <w:bCs w:val="0"/>
          <w:sz w:val="36"/>
          <w:szCs w:val="36"/>
        </w:rPr>
      </w:pPr>
      <w:bookmarkStart w:id="0" w:name="_Toc232564711"/>
      <w:bookmarkStart w:id="1" w:name="_Toc232563000"/>
      <w:bookmarkStart w:id="2" w:name="_Toc232581770"/>
      <w:bookmarkStart w:id="3" w:name="_Toc232761837"/>
      <w:bookmarkStart w:id="4" w:name="_Toc232762567"/>
      <w:bookmarkStart w:id="5" w:name="_Toc232565185"/>
      <w:bookmarkStart w:id="6" w:name="_Toc232568043"/>
      <w:bookmarkStart w:id="7" w:name="_Toc232583423"/>
      <w:bookmarkStart w:id="8" w:name="_Toc232760985"/>
      <w:bookmarkStart w:id="9" w:name="_Toc232568255"/>
      <w:bookmarkStart w:id="10" w:name="_Toc232762226"/>
      <w:bookmarkStart w:id="11" w:name="_Toc232565127"/>
      <w:bookmarkStart w:id="12" w:name="_Toc232762145"/>
      <w:bookmarkStart w:id="13" w:name="_Toc232761295"/>
      <w:bookmarkStart w:id="14" w:name="_Toc232582260"/>
      <w:bookmarkStart w:id="15" w:name="_Toc232565293"/>
      <w:bookmarkStart w:id="16" w:name="_Toc232583421"/>
      <w:bookmarkStart w:id="17" w:name="_Toc232581768"/>
      <w:bookmarkStart w:id="18" w:name="_Toc232762565"/>
      <w:bookmarkStart w:id="19" w:name="_Toc232582258"/>
      <w:bookmarkStart w:id="20" w:name="_Toc232760983"/>
      <w:bookmarkStart w:id="21" w:name="_Toc232762143"/>
      <w:bookmarkStart w:id="22" w:name="_Toc232568041"/>
      <w:bookmarkStart w:id="23" w:name="_Toc232762224"/>
      <w:bookmarkStart w:id="24" w:name="_Toc232568253"/>
      <w:bookmarkStart w:id="25" w:name="_Toc232761835"/>
      <w:bookmarkStart w:id="26" w:name="_Toc232761293"/>
      <w:r>
        <w:rPr>
          <w:rFonts w:ascii="Times New Roman" w:hAnsi="Times New Roman" w:eastAsia="方正小标宋_GBK"/>
          <w:b w:val="0"/>
          <w:bCs w:val="0"/>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Times New Roman" w:hAnsi="Times New Roman" w:eastAsia="方正小标宋_GBK"/>
          <w:b w:val="0"/>
          <w:bCs w:val="0"/>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eastAsia="方正楷体_GBK"/>
          <w:sz w:val="28"/>
          <w:szCs w:val="28"/>
        </w:rPr>
      </w:pPr>
      <w:r>
        <w:rPr>
          <w:rFonts w:eastAsia="方正楷体_GBK"/>
          <w:sz w:val="28"/>
          <w:szCs w:val="28"/>
        </w:rPr>
        <w:t>投标人须知前附表</w:t>
      </w:r>
    </w:p>
    <w:tbl>
      <w:tblPr>
        <w:tblStyle w:val="8"/>
        <w:tblW w:w="8379" w:type="dxa"/>
        <w:tblInd w:w="93" w:type="dxa"/>
        <w:tblLayout w:type="fixed"/>
        <w:tblCellMar>
          <w:top w:w="0" w:type="dxa"/>
          <w:left w:w="108" w:type="dxa"/>
          <w:bottom w:w="0" w:type="dxa"/>
          <w:right w:w="108" w:type="dxa"/>
        </w:tblCellMar>
      </w:tblPr>
      <w:tblGrid>
        <w:gridCol w:w="724"/>
        <w:gridCol w:w="1701"/>
        <w:gridCol w:w="5954"/>
      </w:tblGrid>
      <w:tr>
        <w:tblPrEx>
          <w:tblCellMar>
            <w:top w:w="0" w:type="dxa"/>
            <w:left w:w="108" w:type="dxa"/>
            <w:bottom w:w="0" w:type="dxa"/>
            <w:right w:w="108" w:type="dxa"/>
          </w:tblCellMar>
        </w:tblPrEx>
        <w:trPr>
          <w:trHeight w:val="90"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黑体_GBK"/>
                <w:kern w:val="0"/>
                <w:szCs w:val="21"/>
              </w:rPr>
            </w:pPr>
            <w:bookmarkStart w:id="27" w:name="_Toc232762154"/>
            <w:bookmarkStart w:id="28" w:name="_Toc232762235"/>
            <w:bookmarkStart w:id="29" w:name="_Toc232568052"/>
            <w:bookmarkStart w:id="30" w:name="_Toc232761846"/>
            <w:bookmarkStart w:id="31" w:name="_Toc232761304"/>
            <w:bookmarkStart w:id="32" w:name="_Toc232582269"/>
            <w:bookmarkStart w:id="33" w:name="_Toc232583432"/>
            <w:bookmarkStart w:id="34" w:name="_Toc232581779"/>
            <w:bookmarkStart w:id="35" w:name="_Toc232762576"/>
            <w:bookmarkStart w:id="36" w:name="_Toc232760994"/>
            <w:r>
              <w:rPr>
                <w:rFonts w:eastAsia="方正黑体_GBK"/>
                <w:kern w:val="0"/>
                <w:szCs w:val="21"/>
              </w:rPr>
              <w:t>项号</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spacing w:line="340" w:lineRule="exact"/>
              <w:jc w:val="center"/>
              <w:rPr>
                <w:rFonts w:eastAsia="方正黑体_GBK"/>
                <w:kern w:val="0"/>
                <w:szCs w:val="21"/>
              </w:rPr>
            </w:pPr>
            <w:r>
              <w:rPr>
                <w:rFonts w:eastAsia="方正黑体_GBK"/>
                <w:kern w:val="0"/>
                <w:szCs w:val="21"/>
              </w:rPr>
              <w:t>内    容</w:t>
            </w:r>
          </w:p>
        </w:tc>
        <w:tc>
          <w:tcPr>
            <w:tcW w:w="5954" w:type="dxa"/>
            <w:tcBorders>
              <w:top w:val="single" w:color="auto" w:sz="8" w:space="0"/>
              <w:left w:val="nil"/>
              <w:bottom w:val="single" w:color="auto" w:sz="4" w:space="0"/>
              <w:right w:val="single" w:color="auto" w:sz="8" w:space="0"/>
            </w:tcBorders>
            <w:shd w:val="clear" w:color="auto" w:fill="auto"/>
            <w:vAlign w:val="center"/>
          </w:tcPr>
          <w:p>
            <w:pPr>
              <w:widowControl/>
              <w:spacing w:line="340" w:lineRule="exact"/>
              <w:jc w:val="center"/>
              <w:rPr>
                <w:rFonts w:eastAsia="方正黑体_GBK"/>
                <w:kern w:val="0"/>
                <w:szCs w:val="21"/>
              </w:rPr>
            </w:pPr>
            <w:r>
              <w:rPr>
                <w:rFonts w:eastAsia="方正黑体_GBK"/>
                <w:kern w:val="0"/>
                <w:szCs w:val="21"/>
              </w:rPr>
              <w:t>说明与要求</w:t>
            </w:r>
          </w:p>
        </w:tc>
      </w:tr>
      <w:tr>
        <w:tblPrEx>
          <w:tblCellMar>
            <w:top w:w="0" w:type="dxa"/>
            <w:left w:w="108" w:type="dxa"/>
            <w:bottom w:w="0" w:type="dxa"/>
            <w:right w:w="108" w:type="dxa"/>
          </w:tblCellMar>
        </w:tblPrEx>
        <w:trPr>
          <w:trHeight w:val="7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项目名称</w:t>
            </w:r>
          </w:p>
        </w:tc>
        <w:tc>
          <w:tcPr>
            <w:tcW w:w="5954" w:type="dxa"/>
            <w:tcBorders>
              <w:top w:val="nil"/>
              <w:left w:val="nil"/>
              <w:bottom w:val="single" w:color="auto" w:sz="4" w:space="0"/>
              <w:right w:val="single" w:color="auto" w:sz="8" w:space="0"/>
            </w:tcBorders>
            <w:shd w:val="clear" w:color="auto" w:fill="auto"/>
            <w:vAlign w:val="center"/>
          </w:tcPr>
          <w:p>
            <w:pPr>
              <w:autoSpaceDE w:val="0"/>
              <w:autoSpaceDN w:val="0"/>
              <w:spacing w:line="340" w:lineRule="exact"/>
              <w:jc w:val="left"/>
              <w:rPr>
                <w:rFonts w:eastAsia="方正仿宋_GBK"/>
                <w:szCs w:val="21"/>
              </w:rPr>
            </w:pPr>
            <w:r>
              <w:rPr>
                <w:rFonts w:eastAsia="方正仿宋_GBK"/>
                <w:kern w:val="0"/>
                <w:szCs w:val="21"/>
              </w:rPr>
              <w:t>重庆机电控股（集团）公司及所属企业2023年二、三、四季度电力市场化交易</w:t>
            </w:r>
            <w:r>
              <w:rPr>
                <w:rFonts w:eastAsia="方正仿宋_GBK"/>
                <w:szCs w:val="21"/>
              </w:rPr>
              <w:t>（含政府基金附加、输配电、辅助服务费）集中采购</w:t>
            </w:r>
            <w:r>
              <w:rPr>
                <w:rFonts w:hint="eastAsia" w:eastAsia="方正仿宋_GBK"/>
                <w:szCs w:val="21"/>
                <w:lang w:val="en-US" w:eastAsia="zh-CN"/>
              </w:rPr>
              <w:t>自主</w:t>
            </w:r>
            <w:r>
              <w:rPr>
                <w:rFonts w:eastAsia="方正仿宋_GBK"/>
                <w:kern w:val="0"/>
                <w:szCs w:val="21"/>
              </w:rPr>
              <w:t>公开招标</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2</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项目地点</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重庆机电控股（集团）公司及所属各企业</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3</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项目规模</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本次招标集中采购电量预计2.2亿千瓦时左右（仅供投标参考）</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4</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招标方式</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电力市场化集中采购公开招标</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5</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质量要求</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执行国家标准或与企业签订的技术、质量协议</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6</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执行期限</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u w:val="single"/>
              </w:rPr>
              <w:t>2023</w:t>
            </w:r>
            <w:r>
              <w:rPr>
                <w:rFonts w:eastAsia="方正仿宋_GBK"/>
                <w:kern w:val="0"/>
                <w:szCs w:val="21"/>
              </w:rPr>
              <w:t>年</w:t>
            </w:r>
            <w:r>
              <w:rPr>
                <w:rFonts w:eastAsia="方正仿宋_GBK"/>
                <w:kern w:val="0"/>
                <w:szCs w:val="21"/>
                <w:u w:val="single"/>
              </w:rPr>
              <w:t>04</w:t>
            </w:r>
            <w:r>
              <w:rPr>
                <w:rFonts w:eastAsia="方正仿宋_GBK"/>
                <w:kern w:val="0"/>
                <w:szCs w:val="21"/>
              </w:rPr>
              <w:t>月</w:t>
            </w:r>
            <w:r>
              <w:rPr>
                <w:rFonts w:eastAsia="方正仿宋_GBK"/>
                <w:kern w:val="0"/>
                <w:szCs w:val="21"/>
                <w:u w:val="single"/>
              </w:rPr>
              <w:t>01</w:t>
            </w:r>
            <w:r>
              <w:rPr>
                <w:rFonts w:eastAsia="方正仿宋_GBK"/>
                <w:kern w:val="0"/>
                <w:szCs w:val="21"/>
              </w:rPr>
              <w:t>日至</w:t>
            </w:r>
            <w:r>
              <w:rPr>
                <w:rFonts w:eastAsia="方正仿宋_GBK"/>
                <w:kern w:val="0"/>
                <w:szCs w:val="21"/>
                <w:u w:val="single"/>
              </w:rPr>
              <w:t>2023</w:t>
            </w:r>
            <w:r>
              <w:rPr>
                <w:rFonts w:eastAsia="方正仿宋_GBK"/>
                <w:kern w:val="0"/>
                <w:szCs w:val="21"/>
              </w:rPr>
              <w:t>年</w:t>
            </w:r>
            <w:r>
              <w:rPr>
                <w:rFonts w:eastAsia="方正仿宋_GBK"/>
                <w:kern w:val="0"/>
                <w:szCs w:val="21"/>
                <w:u w:val="single"/>
              </w:rPr>
              <w:t>12</w:t>
            </w:r>
            <w:r>
              <w:rPr>
                <w:rFonts w:eastAsia="方正仿宋_GBK"/>
                <w:kern w:val="0"/>
                <w:szCs w:val="21"/>
              </w:rPr>
              <w:t>月</w:t>
            </w:r>
            <w:r>
              <w:rPr>
                <w:rFonts w:eastAsia="方正仿宋_GBK"/>
                <w:kern w:val="0"/>
                <w:szCs w:val="21"/>
                <w:u w:val="single"/>
              </w:rPr>
              <w:t>31</w:t>
            </w:r>
            <w:r>
              <w:rPr>
                <w:rFonts w:eastAsia="方正仿宋_GBK"/>
                <w:kern w:val="0"/>
                <w:szCs w:val="21"/>
              </w:rPr>
              <w:t>日</w:t>
            </w:r>
          </w:p>
        </w:tc>
      </w:tr>
      <w:tr>
        <w:trPr>
          <w:trHeight w:val="479"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7</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招标范围</w:t>
            </w:r>
          </w:p>
        </w:tc>
        <w:tc>
          <w:tcPr>
            <w:tcW w:w="5954" w:type="dxa"/>
            <w:tcBorders>
              <w:top w:val="nil"/>
              <w:left w:val="nil"/>
              <w:bottom w:val="single" w:color="auto" w:sz="4" w:space="0"/>
              <w:right w:val="single" w:color="auto" w:sz="8" w:space="0"/>
            </w:tcBorders>
            <w:shd w:val="clear" w:color="auto" w:fill="auto"/>
            <w:vAlign w:val="center"/>
          </w:tcPr>
          <w:p>
            <w:pPr>
              <w:widowControl/>
              <w:tabs>
                <w:tab w:val="left" w:pos="764"/>
              </w:tabs>
              <w:kinsoku w:val="0"/>
              <w:overflowPunct w:val="0"/>
              <w:spacing w:before="19" w:line="340" w:lineRule="exact"/>
              <w:rPr>
                <w:rFonts w:eastAsia="方正仿宋_GBK"/>
                <w:spacing w:val="-1"/>
                <w:szCs w:val="21"/>
              </w:rPr>
            </w:pPr>
            <w:r>
              <w:rPr>
                <w:rFonts w:eastAsia="方正仿宋_GBK"/>
                <w:kern w:val="0"/>
                <w:szCs w:val="21"/>
              </w:rPr>
              <w:t>1.</w:t>
            </w:r>
            <w:r>
              <w:rPr>
                <w:rFonts w:eastAsia="方正仿宋_GBK"/>
                <w:spacing w:val="-1"/>
                <w:szCs w:val="21"/>
              </w:rPr>
              <w:t>10KV电压等级2022年电量约23000万千瓦时；</w:t>
            </w:r>
          </w:p>
          <w:p>
            <w:pPr>
              <w:widowControl/>
              <w:tabs>
                <w:tab w:val="left" w:pos="764"/>
              </w:tabs>
              <w:kinsoku w:val="0"/>
              <w:overflowPunct w:val="0"/>
              <w:spacing w:before="19" w:line="340" w:lineRule="exact"/>
              <w:rPr>
                <w:rFonts w:eastAsia="方正仿宋_GBK"/>
                <w:spacing w:val="-1"/>
                <w:szCs w:val="21"/>
              </w:rPr>
            </w:pPr>
            <w:r>
              <w:rPr>
                <w:rFonts w:eastAsia="方正仿宋_GBK"/>
                <w:spacing w:val="-1"/>
                <w:szCs w:val="21"/>
              </w:rPr>
              <w:t>2.35KV电压等级2022年电量约530万千瓦时。</w:t>
            </w:r>
          </w:p>
        </w:tc>
      </w:tr>
      <w:tr>
        <w:tblPrEx>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8</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资格审查方式</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资格后审</w:t>
            </w:r>
          </w:p>
        </w:tc>
      </w:tr>
      <w:tr>
        <w:tblPrEx>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9</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结算方式</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由中标人与电力公司结算、电力公司与企业结算</w:t>
            </w:r>
          </w:p>
        </w:tc>
      </w:tr>
      <w:tr>
        <w:tblPrEx>
          <w:tblCellMar>
            <w:top w:w="0" w:type="dxa"/>
            <w:left w:w="108" w:type="dxa"/>
            <w:bottom w:w="0" w:type="dxa"/>
            <w:right w:w="108" w:type="dxa"/>
          </w:tblCellMar>
        </w:tblPrEx>
        <w:trPr>
          <w:trHeight w:val="403"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10</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投标预备会</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无</w:t>
            </w:r>
          </w:p>
        </w:tc>
      </w:tr>
      <w:tr>
        <w:tblPrEx>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11</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投标货币</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人民币</w:t>
            </w:r>
          </w:p>
        </w:tc>
      </w:tr>
      <w:tr>
        <w:tblPrEx>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12</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投标有效期</w:t>
            </w:r>
          </w:p>
        </w:tc>
        <w:tc>
          <w:tcPr>
            <w:tcW w:w="5954" w:type="dxa"/>
            <w:tcBorders>
              <w:top w:val="nil"/>
              <w:left w:val="nil"/>
              <w:bottom w:val="nil"/>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为：</w:t>
            </w:r>
            <w:r>
              <w:rPr>
                <w:rFonts w:eastAsia="方正仿宋_GBK"/>
                <w:kern w:val="0"/>
                <w:szCs w:val="21"/>
                <w:u w:val="single"/>
              </w:rPr>
              <w:t>90个</w:t>
            </w:r>
            <w:r>
              <w:rPr>
                <w:rFonts w:eastAsia="方正仿宋_GBK"/>
                <w:kern w:val="0"/>
                <w:szCs w:val="21"/>
              </w:rPr>
              <w:t>日历天（从投标截止之日算起）</w:t>
            </w:r>
          </w:p>
        </w:tc>
      </w:tr>
      <w:tr>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13</w:t>
            </w:r>
          </w:p>
        </w:tc>
        <w:tc>
          <w:tcPr>
            <w:tcW w:w="1701" w:type="dxa"/>
            <w:tcBorders>
              <w:top w:val="nil"/>
              <w:left w:val="single" w:color="auto" w:sz="4" w:space="0"/>
              <w:bottom w:val="single" w:color="auto" w:sz="4" w:space="0"/>
              <w:right w:val="nil"/>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投标担保及履约担保</w:t>
            </w:r>
          </w:p>
        </w:tc>
        <w:tc>
          <w:tcPr>
            <w:tcW w:w="595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无</w:t>
            </w:r>
          </w:p>
        </w:tc>
      </w:tr>
      <w:tr>
        <w:tblPrEx>
          <w:tblCellMar>
            <w:top w:w="0" w:type="dxa"/>
            <w:left w:w="108" w:type="dxa"/>
            <w:bottom w:w="0" w:type="dxa"/>
            <w:right w:w="108" w:type="dxa"/>
          </w:tblCellMar>
        </w:tblPrEx>
        <w:trPr>
          <w:trHeight w:val="6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14</w:t>
            </w:r>
          </w:p>
        </w:tc>
        <w:tc>
          <w:tcPr>
            <w:tcW w:w="1701" w:type="dxa"/>
            <w:tcBorders>
              <w:top w:val="single" w:color="auto" w:sz="4" w:space="0"/>
              <w:left w:val="nil"/>
              <w:bottom w:val="single" w:color="auto" w:sz="4" w:space="0"/>
              <w:right w:val="nil"/>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招标文件的获取</w:t>
            </w:r>
          </w:p>
        </w:tc>
        <w:tc>
          <w:tcPr>
            <w:tcW w:w="595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投标人于</w:t>
            </w:r>
            <w:r>
              <w:rPr>
                <w:rFonts w:eastAsia="方正仿宋_GBK"/>
                <w:kern w:val="0"/>
                <w:szCs w:val="21"/>
                <w:u w:val="single"/>
              </w:rPr>
              <w:t>2023</w:t>
            </w:r>
            <w:r>
              <w:rPr>
                <w:rFonts w:eastAsia="方正仿宋_GBK"/>
                <w:kern w:val="0"/>
                <w:szCs w:val="21"/>
              </w:rPr>
              <w:t>年</w:t>
            </w:r>
            <w:r>
              <w:rPr>
                <w:rFonts w:eastAsia="方正仿宋_GBK"/>
                <w:kern w:val="0"/>
                <w:szCs w:val="21"/>
                <w:u w:val="single"/>
              </w:rPr>
              <w:t>0</w:t>
            </w:r>
            <w:r>
              <w:rPr>
                <w:rFonts w:hint="eastAsia" w:eastAsia="方正仿宋_GBK"/>
                <w:kern w:val="0"/>
                <w:szCs w:val="21"/>
                <w:u w:val="single"/>
              </w:rPr>
              <w:t>2</w:t>
            </w:r>
            <w:r>
              <w:rPr>
                <w:rFonts w:eastAsia="方正仿宋_GBK"/>
                <w:kern w:val="0"/>
                <w:szCs w:val="21"/>
              </w:rPr>
              <w:t>月</w:t>
            </w:r>
            <w:r>
              <w:rPr>
                <w:rFonts w:hint="eastAsia" w:eastAsia="方正仿宋_GBK"/>
                <w:kern w:val="0"/>
                <w:szCs w:val="21"/>
                <w:u w:val="single"/>
              </w:rPr>
              <w:t>2</w:t>
            </w:r>
            <w:r>
              <w:rPr>
                <w:rFonts w:hint="eastAsia" w:eastAsia="方正仿宋_GBK"/>
                <w:kern w:val="0"/>
                <w:szCs w:val="21"/>
                <w:u w:val="single"/>
                <w:lang w:val="en-US" w:eastAsia="zh-CN"/>
              </w:rPr>
              <w:t>7</w:t>
            </w:r>
            <w:r>
              <w:rPr>
                <w:rFonts w:eastAsia="方正仿宋_GBK"/>
                <w:kern w:val="0"/>
                <w:szCs w:val="21"/>
              </w:rPr>
              <w:t>日</w:t>
            </w:r>
            <w:r>
              <w:rPr>
                <w:rFonts w:eastAsia="方正仿宋_GBK"/>
                <w:kern w:val="0"/>
                <w:szCs w:val="21"/>
                <w:u w:val="single"/>
              </w:rPr>
              <w:t>17：00</w:t>
            </w:r>
            <w:r>
              <w:rPr>
                <w:rFonts w:eastAsia="方正仿宋_GBK"/>
                <w:kern w:val="0"/>
                <w:szCs w:val="21"/>
              </w:rPr>
              <w:t>前</w:t>
            </w:r>
            <w:r>
              <w:rPr>
                <w:rFonts w:hint="eastAsia" w:eastAsia="方正仿宋_GBK"/>
                <w:kern w:val="0"/>
                <w:szCs w:val="21"/>
              </w:rPr>
              <w:t>在</w:t>
            </w:r>
            <w:r>
              <w:rPr>
                <w:rFonts w:eastAsia="方正仿宋_GBK"/>
                <w:kern w:val="0"/>
                <w:szCs w:val="21"/>
              </w:rPr>
              <w:t>https://www.cme-cq.com/</w:t>
            </w:r>
            <w:r>
              <w:rPr>
                <w:rFonts w:hint="eastAsia" w:eastAsia="方正仿宋_GBK"/>
                <w:kern w:val="0"/>
                <w:szCs w:val="21"/>
              </w:rPr>
              <w:t>网址“招标采购”板块和scm-spwz.com“招标公告”中下载</w:t>
            </w:r>
            <w:r>
              <w:rPr>
                <w:rFonts w:eastAsia="方正仿宋_GBK"/>
                <w:kern w:val="0"/>
                <w:szCs w:val="21"/>
              </w:rPr>
              <w:t>《招标文件》，每份文件售价</w:t>
            </w:r>
            <w:r>
              <w:rPr>
                <w:rFonts w:eastAsia="方正仿宋_GBK"/>
                <w:kern w:val="0"/>
                <w:szCs w:val="21"/>
                <w:u w:val="single"/>
              </w:rPr>
              <w:t>￥500.00</w:t>
            </w:r>
            <w:r>
              <w:rPr>
                <w:rFonts w:eastAsia="方正仿宋_GBK"/>
                <w:kern w:val="0"/>
                <w:szCs w:val="21"/>
              </w:rPr>
              <w:t>元。</w:t>
            </w:r>
          </w:p>
        </w:tc>
      </w:tr>
      <w:tr>
        <w:tblPrEx>
          <w:tblCellMar>
            <w:top w:w="0" w:type="dxa"/>
            <w:left w:w="108" w:type="dxa"/>
            <w:bottom w:w="0" w:type="dxa"/>
            <w:right w:w="108" w:type="dxa"/>
          </w:tblCellMar>
        </w:tblPrEx>
        <w:trPr>
          <w:trHeight w:val="7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15</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 xml:space="preserve">答疑 </w:t>
            </w:r>
          </w:p>
        </w:tc>
        <w:tc>
          <w:tcPr>
            <w:tcW w:w="5954" w:type="dxa"/>
            <w:tcBorders>
              <w:top w:val="nil"/>
              <w:left w:val="nil"/>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递交书面质疑截止时间：</w:t>
            </w:r>
            <w:r>
              <w:rPr>
                <w:rFonts w:eastAsia="方正仿宋_GBK"/>
                <w:kern w:val="0"/>
                <w:szCs w:val="21"/>
                <w:u w:val="single"/>
              </w:rPr>
              <w:t>2023年0</w:t>
            </w:r>
            <w:r>
              <w:rPr>
                <w:rFonts w:hint="eastAsia" w:eastAsia="方正仿宋_GBK"/>
                <w:kern w:val="0"/>
                <w:szCs w:val="21"/>
                <w:u w:val="single"/>
                <w:lang w:val="en-US" w:eastAsia="zh-CN"/>
              </w:rPr>
              <w:t>3</w:t>
            </w:r>
            <w:r>
              <w:rPr>
                <w:rFonts w:eastAsia="方正仿宋_GBK"/>
                <w:kern w:val="0"/>
                <w:szCs w:val="21"/>
                <w:u w:val="single"/>
              </w:rPr>
              <w:t>月</w:t>
            </w:r>
            <w:r>
              <w:rPr>
                <w:rFonts w:hint="eastAsia" w:eastAsia="方正仿宋_GBK"/>
                <w:kern w:val="0"/>
                <w:szCs w:val="21"/>
                <w:u w:val="single"/>
                <w:lang w:val="en-US" w:eastAsia="zh-CN"/>
              </w:rPr>
              <w:t>01</w:t>
            </w:r>
            <w:r>
              <w:rPr>
                <w:rFonts w:eastAsia="方正仿宋_GBK"/>
                <w:kern w:val="0"/>
                <w:szCs w:val="21"/>
                <w:u w:val="single"/>
              </w:rPr>
              <w:t>日12：00时前</w:t>
            </w:r>
            <w:r>
              <w:rPr>
                <w:rFonts w:eastAsia="方正仿宋_GBK"/>
                <w:kern w:val="0"/>
                <w:szCs w:val="21"/>
              </w:rPr>
              <w:t>（如果有）；领取答疑时间：</w:t>
            </w:r>
            <w:r>
              <w:rPr>
                <w:rFonts w:eastAsia="方正仿宋_GBK"/>
                <w:kern w:val="0"/>
                <w:szCs w:val="21"/>
                <w:u w:val="single"/>
              </w:rPr>
              <w:t>2023年0</w:t>
            </w:r>
            <w:r>
              <w:rPr>
                <w:rFonts w:hint="eastAsia" w:eastAsia="方正仿宋_GBK"/>
                <w:kern w:val="0"/>
                <w:szCs w:val="21"/>
                <w:u w:val="single"/>
                <w:lang w:val="en-US" w:eastAsia="zh-CN"/>
              </w:rPr>
              <w:t>3</w:t>
            </w:r>
            <w:r>
              <w:rPr>
                <w:rFonts w:eastAsia="方正仿宋_GBK"/>
                <w:kern w:val="0"/>
                <w:szCs w:val="21"/>
                <w:u w:val="single"/>
              </w:rPr>
              <w:t>月</w:t>
            </w:r>
            <w:r>
              <w:rPr>
                <w:rFonts w:hint="eastAsia" w:eastAsia="方正仿宋_GBK"/>
                <w:kern w:val="0"/>
                <w:szCs w:val="21"/>
                <w:u w:val="single"/>
                <w:lang w:val="en-US" w:eastAsia="zh-CN"/>
              </w:rPr>
              <w:t>02</w:t>
            </w:r>
            <w:r>
              <w:rPr>
                <w:rFonts w:eastAsia="方正仿宋_GBK"/>
                <w:kern w:val="0"/>
                <w:szCs w:val="21"/>
                <w:u w:val="single"/>
              </w:rPr>
              <w:t>日1</w:t>
            </w:r>
            <w:r>
              <w:rPr>
                <w:rFonts w:hint="eastAsia" w:eastAsia="方正仿宋_GBK"/>
                <w:kern w:val="0"/>
                <w:szCs w:val="21"/>
                <w:u w:val="single"/>
                <w:lang w:val="en-US" w:eastAsia="zh-CN"/>
              </w:rPr>
              <w:t>2</w:t>
            </w:r>
            <w:r>
              <w:rPr>
                <w:rFonts w:eastAsia="方正仿宋_GBK"/>
                <w:kern w:val="0"/>
                <w:szCs w:val="21"/>
                <w:u w:val="single"/>
              </w:rPr>
              <w:t>：00时前</w:t>
            </w:r>
            <w:r>
              <w:rPr>
                <w:rFonts w:eastAsia="方正仿宋_GBK"/>
                <w:kern w:val="0"/>
                <w:szCs w:val="21"/>
              </w:rPr>
              <w:t>（如果有）</w:t>
            </w:r>
          </w:p>
        </w:tc>
      </w:tr>
      <w:tr>
        <w:tblPrEx>
          <w:tblCellMar>
            <w:top w:w="0" w:type="dxa"/>
            <w:left w:w="108" w:type="dxa"/>
            <w:bottom w:w="0" w:type="dxa"/>
            <w:right w:w="108" w:type="dxa"/>
          </w:tblCellMar>
        </w:tblPrEx>
        <w:trPr>
          <w:trHeight w:val="453"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16</w:t>
            </w:r>
          </w:p>
        </w:tc>
        <w:tc>
          <w:tcPr>
            <w:tcW w:w="170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投标文件组成</w:t>
            </w:r>
          </w:p>
        </w:tc>
        <w:tc>
          <w:tcPr>
            <w:tcW w:w="5954" w:type="dxa"/>
            <w:tcBorders>
              <w:top w:val="nil"/>
              <w:left w:val="nil"/>
              <w:bottom w:val="nil"/>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《招标文件》第四部分规定的内容及构成投标文件的其他材料</w:t>
            </w:r>
          </w:p>
        </w:tc>
      </w:tr>
      <w:tr>
        <w:tblPrEx>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17</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投标文件提交地点及截止时间</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收件人：</w:t>
            </w:r>
            <w:r>
              <w:rPr>
                <w:rFonts w:eastAsia="方正仿宋_GBK"/>
                <w:kern w:val="0"/>
                <w:szCs w:val="21"/>
                <w:u w:val="single"/>
              </w:rPr>
              <w:t>重庆盛普物资有限公司</w:t>
            </w:r>
          </w:p>
        </w:tc>
      </w:tr>
      <w:tr>
        <w:tblPrEx>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40" w:lineRule="exact"/>
              <w:jc w:val="left"/>
              <w:rPr>
                <w:rFonts w:eastAsia="方正仿宋_GBK"/>
                <w:b/>
                <w:kern w:val="0"/>
                <w:szCs w:val="21"/>
              </w:rPr>
            </w:pPr>
          </w:p>
        </w:tc>
        <w:tc>
          <w:tcPr>
            <w:tcW w:w="1701" w:type="dxa"/>
            <w:vMerge w:val="continue"/>
            <w:tcBorders>
              <w:top w:val="nil"/>
              <w:left w:val="single" w:color="auto" w:sz="4" w:space="0"/>
              <w:bottom w:val="single" w:color="auto" w:sz="4" w:space="0"/>
              <w:right w:val="nil"/>
            </w:tcBorders>
            <w:vAlign w:val="center"/>
          </w:tcPr>
          <w:p>
            <w:pPr>
              <w:widowControl/>
              <w:spacing w:line="340" w:lineRule="exact"/>
              <w:jc w:val="left"/>
              <w:rPr>
                <w:rFonts w:eastAsia="方正仿宋_GBK"/>
                <w:b/>
                <w:kern w:val="0"/>
                <w:szCs w:val="21"/>
              </w:rPr>
            </w:pPr>
          </w:p>
        </w:tc>
        <w:tc>
          <w:tcPr>
            <w:tcW w:w="5954" w:type="dxa"/>
            <w:tcBorders>
              <w:top w:val="nil"/>
              <w:left w:val="single" w:color="auto" w:sz="4" w:space="0"/>
              <w:bottom w:val="nil"/>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地点：</w:t>
            </w:r>
            <w:r>
              <w:rPr>
                <w:rFonts w:hint="eastAsia" w:eastAsia="方正仿宋_GBK"/>
                <w:kern w:val="0"/>
                <w:szCs w:val="21"/>
                <w:u w:val="single"/>
              </w:rPr>
              <w:t>重庆市南岸区江溪路6号重庆盛普物资有限公司（机电股份科技大楼四层）</w:t>
            </w:r>
          </w:p>
        </w:tc>
      </w:tr>
      <w:tr>
        <w:tblPrEx>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40" w:lineRule="exact"/>
              <w:jc w:val="left"/>
              <w:rPr>
                <w:rFonts w:eastAsia="方正仿宋_GBK"/>
                <w:b/>
                <w:kern w:val="0"/>
                <w:szCs w:val="21"/>
              </w:rPr>
            </w:pPr>
          </w:p>
        </w:tc>
        <w:tc>
          <w:tcPr>
            <w:tcW w:w="1701" w:type="dxa"/>
            <w:vMerge w:val="continue"/>
            <w:tcBorders>
              <w:top w:val="nil"/>
              <w:left w:val="single" w:color="auto" w:sz="4" w:space="0"/>
              <w:bottom w:val="single" w:color="auto" w:sz="4" w:space="0"/>
              <w:right w:val="nil"/>
            </w:tcBorders>
            <w:vAlign w:val="center"/>
          </w:tcPr>
          <w:p>
            <w:pPr>
              <w:widowControl/>
              <w:spacing w:line="340" w:lineRule="exact"/>
              <w:jc w:val="left"/>
              <w:rPr>
                <w:rFonts w:eastAsia="方正仿宋_GBK"/>
                <w:b/>
                <w:kern w:val="0"/>
                <w:szCs w:val="21"/>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时间（北京时间）：</w:t>
            </w:r>
            <w:r>
              <w:rPr>
                <w:rFonts w:eastAsia="方正仿宋_GBK"/>
                <w:kern w:val="0"/>
                <w:szCs w:val="21"/>
                <w:u w:val="single"/>
              </w:rPr>
              <w:t>2023年0</w:t>
            </w:r>
            <w:r>
              <w:rPr>
                <w:rFonts w:hint="eastAsia" w:eastAsia="方正仿宋_GBK"/>
                <w:kern w:val="0"/>
                <w:szCs w:val="21"/>
                <w:u w:val="single"/>
                <w:lang w:val="en-US" w:eastAsia="zh-CN"/>
              </w:rPr>
              <w:t>3</w:t>
            </w:r>
            <w:r>
              <w:rPr>
                <w:rFonts w:eastAsia="方正仿宋_GBK"/>
                <w:kern w:val="0"/>
                <w:szCs w:val="21"/>
                <w:u w:val="single"/>
              </w:rPr>
              <w:t>月</w:t>
            </w:r>
            <w:r>
              <w:rPr>
                <w:rFonts w:hint="eastAsia" w:eastAsia="方正仿宋_GBK"/>
                <w:kern w:val="0"/>
                <w:szCs w:val="21"/>
                <w:u w:val="single"/>
                <w:lang w:val="en-US" w:eastAsia="zh-CN"/>
              </w:rPr>
              <w:t>06</w:t>
            </w:r>
            <w:r>
              <w:rPr>
                <w:rFonts w:eastAsia="方正仿宋_GBK"/>
                <w:kern w:val="0"/>
                <w:szCs w:val="21"/>
                <w:u w:val="single"/>
              </w:rPr>
              <w:t>日1</w:t>
            </w:r>
            <w:r>
              <w:rPr>
                <w:rFonts w:hint="eastAsia" w:eastAsia="方正仿宋_GBK"/>
                <w:kern w:val="0"/>
                <w:szCs w:val="21"/>
                <w:u w:val="single"/>
              </w:rPr>
              <w:t>2</w:t>
            </w:r>
            <w:r>
              <w:rPr>
                <w:rFonts w:eastAsia="方正仿宋_GBK"/>
                <w:kern w:val="0"/>
                <w:szCs w:val="21"/>
                <w:u w:val="single"/>
              </w:rPr>
              <w:t>：</w:t>
            </w:r>
            <w:r>
              <w:rPr>
                <w:rFonts w:hint="eastAsia" w:eastAsia="方正仿宋_GBK"/>
                <w:kern w:val="0"/>
                <w:szCs w:val="21"/>
                <w:u w:val="single"/>
              </w:rPr>
              <w:t>0</w:t>
            </w:r>
            <w:r>
              <w:rPr>
                <w:rFonts w:eastAsia="方正仿宋_GBK"/>
                <w:kern w:val="0"/>
                <w:szCs w:val="21"/>
                <w:u w:val="single"/>
              </w:rPr>
              <w:t>0时止</w:t>
            </w:r>
          </w:p>
        </w:tc>
      </w:tr>
      <w:tr>
        <w:tblPrEx>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18</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投标报价</w:t>
            </w:r>
          </w:p>
        </w:tc>
        <w:tc>
          <w:tcPr>
            <w:tcW w:w="5954" w:type="dxa"/>
            <w:tcBorders>
              <w:top w:val="single" w:color="auto" w:sz="4" w:space="0"/>
              <w:left w:val="single" w:color="auto" w:sz="4" w:space="0"/>
              <w:bottom w:val="nil"/>
              <w:right w:val="single" w:color="auto" w:sz="4"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1、投标人应严格按招标文件要求填写《投标报价表》，</w:t>
            </w:r>
            <w:r>
              <w:rPr>
                <w:rFonts w:eastAsia="方正仿宋_GBK"/>
                <w:b/>
                <w:kern w:val="0"/>
                <w:szCs w:val="21"/>
              </w:rPr>
              <w:t>不得对招标文件规定的《投标报价表》格式进行修改及转换</w:t>
            </w:r>
            <w:r>
              <w:rPr>
                <w:rFonts w:eastAsia="方正仿宋_GBK"/>
                <w:kern w:val="0"/>
                <w:szCs w:val="21"/>
              </w:rPr>
              <w:t>；</w:t>
            </w:r>
          </w:p>
        </w:tc>
      </w:tr>
      <w:tr>
        <w:tblPrEx>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40" w:lineRule="exact"/>
              <w:jc w:val="left"/>
              <w:rPr>
                <w:rFonts w:eastAsia="方正仿宋_GBK"/>
                <w:b/>
                <w:kern w:val="0"/>
                <w:szCs w:val="21"/>
              </w:rPr>
            </w:pPr>
          </w:p>
        </w:tc>
        <w:tc>
          <w:tcPr>
            <w:tcW w:w="1701" w:type="dxa"/>
            <w:vMerge w:val="continue"/>
            <w:tcBorders>
              <w:top w:val="nil"/>
              <w:left w:val="single" w:color="auto" w:sz="4" w:space="0"/>
              <w:bottom w:val="single" w:color="auto" w:sz="4" w:space="0"/>
              <w:right w:val="nil"/>
            </w:tcBorders>
            <w:vAlign w:val="center"/>
          </w:tcPr>
          <w:p>
            <w:pPr>
              <w:widowControl/>
              <w:spacing w:line="340" w:lineRule="exact"/>
              <w:jc w:val="left"/>
              <w:rPr>
                <w:rFonts w:eastAsia="方正仿宋_GBK"/>
                <w:b/>
                <w:kern w:val="0"/>
                <w:szCs w:val="21"/>
              </w:rPr>
            </w:pPr>
          </w:p>
        </w:tc>
        <w:tc>
          <w:tcPr>
            <w:tcW w:w="5954" w:type="dxa"/>
            <w:tcBorders>
              <w:top w:val="nil"/>
              <w:left w:val="single" w:color="auto" w:sz="4" w:space="0"/>
              <w:bottom w:val="nil"/>
              <w:right w:val="single" w:color="auto" w:sz="4"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2、如有疑问，投标人应于本须知1</w:t>
            </w:r>
            <w:r>
              <w:rPr>
                <w:rFonts w:hint="eastAsia" w:eastAsia="方正仿宋_GBK"/>
                <w:kern w:val="0"/>
                <w:szCs w:val="21"/>
                <w:lang w:val="en-US" w:eastAsia="zh-CN"/>
              </w:rPr>
              <w:t>5</w:t>
            </w:r>
            <w:r>
              <w:rPr>
                <w:rFonts w:eastAsia="方正仿宋_GBK"/>
                <w:kern w:val="0"/>
                <w:szCs w:val="21"/>
              </w:rPr>
              <w:t>“答疑”项中规定的时间前书面通知招标人核查，以便招标人及时予以更正；</w:t>
            </w:r>
          </w:p>
        </w:tc>
      </w:tr>
      <w:tr>
        <w:tblPrEx>
          <w:tblCellMar>
            <w:top w:w="0" w:type="dxa"/>
            <w:left w:w="108" w:type="dxa"/>
            <w:bottom w:w="0" w:type="dxa"/>
            <w:right w:w="108" w:type="dxa"/>
          </w:tblCellMar>
        </w:tblPrEx>
        <w:trPr>
          <w:trHeight w:val="423" w:hRule="atLeast"/>
        </w:trPr>
        <w:tc>
          <w:tcPr>
            <w:tcW w:w="724" w:type="dxa"/>
            <w:vMerge w:val="continue"/>
            <w:tcBorders>
              <w:top w:val="nil"/>
              <w:left w:val="single" w:color="auto" w:sz="8" w:space="0"/>
              <w:bottom w:val="single" w:color="auto" w:sz="8" w:space="0"/>
              <w:right w:val="single" w:color="auto" w:sz="4" w:space="0"/>
            </w:tcBorders>
            <w:vAlign w:val="center"/>
          </w:tcPr>
          <w:p>
            <w:pPr>
              <w:widowControl/>
              <w:spacing w:line="340" w:lineRule="exact"/>
              <w:jc w:val="left"/>
              <w:rPr>
                <w:rFonts w:eastAsia="方正仿宋_GBK"/>
                <w:b/>
                <w:kern w:val="0"/>
                <w:szCs w:val="21"/>
              </w:rPr>
            </w:pPr>
          </w:p>
        </w:tc>
        <w:tc>
          <w:tcPr>
            <w:tcW w:w="1701" w:type="dxa"/>
            <w:vMerge w:val="continue"/>
            <w:tcBorders>
              <w:top w:val="nil"/>
              <w:left w:val="single" w:color="auto" w:sz="4" w:space="0"/>
              <w:bottom w:val="single" w:color="auto" w:sz="8" w:space="0"/>
              <w:right w:val="nil"/>
            </w:tcBorders>
            <w:vAlign w:val="center"/>
          </w:tcPr>
          <w:p>
            <w:pPr>
              <w:widowControl/>
              <w:spacing w:line="340" w:lineRule="exact"/>
              <w:jc w:val="left"/>
              <w:rPr>
                <w:rFonts w:eastAsia="方正仿宋_GBK"/>
                <w:b/>
                <w:kern w:val="0"/>
                <w:szCs w:val="21"/>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spacing w:line="340" w:lineRule="exact"/>
              <w:rPr>
                <w:rFonts w:eastAsia="方正仿宋_GBK"/>
                <w:b/>
                <w:kern w:val="0"/>
                <w:szCs w:val="21"/>
                <w:u w:val="single"/>
              </w:rPr>
            </w:pPr>
            <w:r>
              <w:rPr>
                <w:rFonts w:eastAsia="方正仿宋_GBK"/>
                <w:b/>
                <w:kern w:val="0"/>
                <w:szCs w:val="21"/>
                <w:u w:val="single"/>
              </w:rPr>
              <w:t>3、投标报价为含税价（税率为13%）。</w:t>
            </w:r>
          </w:p>
        </w:tc>
      </w:tr>
      <w:tr>
        <w:tblPrEx>
          <w:tblCellMar>
            <w:top w:w="0" w:type="dxa"/>
            <w:left w:w="108" w:type="dxa"/>
            <w:bottom w:w="0" w:type="dxa"/>
            <w:right w:w="108" w:type="dxa"/>
          </w:tblCellMar>
        </w:tblPrEx>
        <w:trPr>
          <w:trHeight w:val="960" w:hRule="atLeast"/>
        </w:trPr>
        <w:tc>
          <w:tcPr>
            <w:tcW w:w="724" w:type="dxa"/>
            <w:vMerge w:val="restart"/>
            <w:tcBorders>
              <w:top w:val="single" w:color="auto" w:sz="8" w:space="0"/>
              <w:left w:val="single" w:color="auto" w:sz="8" w:space="0"/>
              <w:bottom w:val="single" w:color="auto" w:sz="8"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19</w:t>
            </w:r>
          </w:p>
        </w:tc>
        <w:tc>
          <w:tcPr>
            <w:tcW w:w="1701" w:type="dxa"/>
            <w:vMerge w:val="restart"/>
            <w:tcBorders>
              <w:top w:val="single" w:color="auto" w:sz="8" w:space="0"/>
              <w:left w:val="single" w:color="auto" w:sz="4" w:space="0"/>
              <w:bottom w:val="single" w:color="auto" w:sz="8" w:space="0"/>
              <w:right w:val="nil"/>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装订及密封要求</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1、投标人应将参与投标的所有文件一并装入信封内，注明单位全称、地址、邮编、开户银行、账号、联系人及联系方式，并在投标截止时间前送达招标人指定地点。</w:t>
            </w:r>
          </w:p>
        </w:tc>
      </w:tr>
      <w:tr>
        <w:tblPrEx>
          <w:tblCellMar>
            <w:top w:w="0" w:type="dxa"/>
            <w:left w:w="108" w:type="dxa"/>
            <w:bottom w:w="0" w:type="dxa"/>
            <w:right w:w="108" w:type="dxa"/>
          </w:tblCellMar>
        </w:tblPrEx>
        <w:trPr>
          <w:trHeight w:val="930" w:hRule="atLeast"/>
        </w:trPr>
        <w:tc>
          <w:tcPr>
            <w:tcW w:w="724" w:type="dxa"/>
            <w:vMerge w:val="continue"/>
            <w:tcBorders>
              <w:top w:val="single" w:color="auto" w:sz="8" w:space="0"/>
              <w:left w:val="single" w:color="auto" w:sz="8" w:space="0"/>
              <w:bottom w:val="single" w:color="auto" w:sz="8" w:space="0"/>
              <w:right w:val="single" w:color="auto" w:sz="4" w:space="0"/>
            </w:tcBorders>
            <w:vAlign w:val="center"/>
          </w:tcPr>
          <w:p>
            <w:pPr>
              <w:widowControl/>
              <w:spacing w:line="340" w:lineRule="exact"/>
              <w:jc w:val="left"/>
              <w:rPr>
                <w:rFonts w:eastAsia="方正仿宋_GBK"/>
                <w:b/>
                <w:kern w:val="0"/>
                <w:szCs w:val="21"/>
              </w:rPr>
            </w:pPr>
          </w:p>
        </w:tc>
        <w:tc>
          <w:tcPr>
            <w:tcW w:w="1701" w:type="dxa"/>
            <w:vMerge w:val="continue"/>
            <w:tcBorders>
              <w:top w:val="single" w:color="auto" w:sz="8" w:space="0"/>
              <w:left w:val="single" w:color="auto" w:sz="4" w:space="0"/>
              <w:bottom w:val="single" w:color="auto" w:sz="8" w:space="0"/>
              <w:right w:val="nil"/>
            </w:tcBorders>
            <w:vAlign w:val="center"/>
          </w:tcPr>
          <w:p>
            <w:pPr>
              <w:widowControl/>
              <w:spacing w:line="340" w:lineRule="exact"/>
              <w:jc w:val="left"/>
              <w:rPr>
                <w:rFonts w:eastAsia="方正仿宋_GBK"/>
                <w:b/>
                <w:kern w:val="0"/>
                <w:szCs w:val="21"/>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spacing w:line="340" w:lineRule="exact"/>
              <w:jc w:val="left"/>
              <w:rPr>
                <w:rFonts w:eastAsia="方正仿宋_GBK"/>
                <w:kern w:val="0"/>
                <w:szCs w:val="21"/>
              </w:rPr>
            </w:pPr>
            <w:r>
              <w:rPr>
                <w:rFonts w:eastAsia="方正仿宋_GBK"/>
                <w:kern w:val="0"/>
                <w:szCs w:val="21"/>
              </w:rPr>
              <w:t>2、为方便开标，投标人须将《投标报价表》加盖鲜章的纸质报价表</w:t>
            </w:r>
            <w:r>
              <w:rPr>
                <w:rFonts w:eastAsia="方正仿宋_GBK"/>
                <w:b/>
                <w:kern w:val="0"/>
                <w:szCs w:val="21"/>
                <w:u w:val="single"/>
              </w:rPr>
              <w:t>单独密封</w:t>
            </w:r>
            <w:r>
              <w:rPr>
                <w:rFonts w:eastAsia="方正仿宋_GBK"/>
                <w:kern w:val="0"/>
                <w:szCs w:val="21"/>
              </w:rPr>
              <w:t>，并在信封上注明</w:t>
            </w:r>
            <w:r>
              <w:rPr>
                <w:rFonts w:eastAsia="方正仿宋_GBK"/>
                <w:kern w:val="0"/>
                <w:szCs w:val="21"/>
                <w:u w:val="single"/>
              </w:rPr>
              <w:t>“</w:t>
            </w:r>
            <w:r>
              <w:rPr>
                <w:rFonts w:eastAsia="方正仿宋_GBK"/>
                <w:b/>
                <w:bCs/>
                <w:kern w:val="0"/>
                <w:szCs w:val="21"/>
                <w:u w:val="single"/>
              </w:rPr>
              <w:t>投标报价表，请于开标时启封</w:t>
            </w:r>
            <w:r>
              <w:rPr>
                <w:rFonts w:eastAsia="方正仿宋_GBK"/>
                <w:kern w:val="0"/>
                <w:szCs w:val="21"/>
                <w:u w:val="single"/>
              </w:rPr>
              <w:t>”</w:t>
            </w:r>
            <w:r>
              <w:rPr>
                <w:rFonts w:eastAsia="方正仿宋_GBK"/>
                <w:kern w:val="0"/>
                <w:szCs w:val="21"/>
              </w:rPr>
              <w:t>字样。</w:t>
            </w:r>
          </w:p>
        </w:tc>
      </w:tr>
      <w:tr>
        <w:tblPrEx>
          <w:tblCellMar>
            <w:top w:w="0" w:type="dxa"/>
            <w:left w:w="108" w:type="dxa"/>
            <w:bottom w:w="0" w:type="dxa"/>
            <w:right w:w="108" w:type="dxa"/>
          </w:tblCellMar>
        </w:tblPrEx>
        <w:trPr>
          <w:trHeight w:val="465"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20</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开标会</w:t>
            </w:r>
          </w:p>
        </w:tc>
        <w:tc>
          <w:tcPr>
            <w:tcW w:w="5954" w:type="dxa"/>
            <w:tcBorders>
              <w:top w:val="nil"/>
              <w:left w:val="nil"/>
              <w:bottom w:val="nil"/>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招标人将于北京时间</w:t>
            </w:r>
            <w:r>
              <w:rPr>
                <w:rFonts w:eastAsia="方正仿宋_GBK"/>
                <w:kern w:val="0"/>
                <w:szCs w:val="21"/>
                <w:u w:val="single"/>
              </w:rPr>
              <w:t>2023年0</w:t>
            </w:r>
            <w:r>
              <w:rPr>
                <w:rFonts w:hint="eastAsia" w:eastAsia="方正仿宋_GBK"/>
                <w:kern w:val="0"/>
                <w:szCs w:val="21"/>
                <w:u w:val="single"/>
                <w:lang w:val="en-US" w:eastAsia="zh-CN"/>
              </w:rPr>
              <w:t>3</w:t>
            </w:r>
            <w:r>
              <w:rPr>
                <w:rFonts w:eastAsia="方正仿宋_GBK"/>
                <w:kern w:val="0"/>
                <w:szCs w:val="21"/>
                <w:u w:val="single"/>
              </w:rPr>
              <w:t>月</w:t>
            </w:r>
            <w:r>
              <w:rPr>
                <w:rFonts w:hint="eastAsia" w:eastAsia="方正仿宋_GBK"/>
                <w:kern w:val="0"/>
                <w:szCs w:val="21"/>
                <w:u w:val="single"/>
                <w:lang w:val="en-US" w:eastAsia="zh-CN"/>
              </w:rPr>
              <w:t>06</w:t>
            </w:r>
            <w:r>
              <w:rPr>
                <w:rFonts w:eastAsia="方正仿宋_GBK"/>
                <w:kern w:val="0"/>
                <w:szCs w:val="21"/>
                <w:u w:val="single"/>
              </w:rPr>
              <w:t>日15：00在重庆机电集团1</w:t>
            </w:r>
            <w:r>
              <w:rPr>
                <w:rFonts w:hint="eastAsia" w:eastAsia="方正仿宋_GBK"/>
                <w:kern w:val="0"/>
                <w:szCs w:val="21"/>
                <w:u w:val="single"/>
              </w:rPr>
              <w:t>905</w:t>
            </w:r>
            <w:r>
              <w:rPr>
                <w:rFonts w:eastAsia="方正仿宋_GBK"/>
                <w:kern w:val="0"/>
                <w:szCs w:val="21"/>
                <w:u w:val="single"/>
              </w:rPr>
              <w:t>会议室举行开标会。</w:t>
            </w:r>
          </w:p>
        </w:tc>
      </w:tr>
      <w:tr>
        <w:tblPrEx>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21</w:t>
            </w:r>
          </w:p>
        </w:tc>
        <w:tc>
          <w:tcPr>
            <w:tcW w:w="1701" w:type="dxa"/>
            <w:tcBorders>
              <w:top w:val="nil"/>
              <w:left w:val="single" w:color="auto" w:sz="4" w:space="0"/>
              <w:bottom w:val="single" w:color="auto" w:sz="4" w:space="0"/>
              <w:right w:val="nil"/>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废标</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1、超出经营范围投标的；</w:t>
            </w:r>
          </w:p>
          <w:p>
            <w:pPr>
              <w:widowControl/>
              <w:spacing w:line="340" w:lineRule="exact"/>
              <w:rPr>
                <w:rFonts w:eastAsia="方正仿宋_GBK"/>
                <w:kern w:val="0"/>
                <w:szCs w:val="21"/>
              </w:rPr>
            </w:pPr>
            <w:r>
              <w:rPr>
                <w:rFonts w:eastAsia="方正仿宋_GBK"/>
                <w:kern w:val="0"/>
                <w:szCs w:val="21"/>
              </w:rPr>
              <w:t>2、资格证明文件不符合招标文件要求的；</w:t>
            </w:r>
          </w:p>
          <w:p>
            <w:pPr>
              <w:widowControl/>
              <w:spacing w:line="340" w:lineRule="exact"/>
              <w:rPr>
                <w:rFonts w:eastAsia="方正仿宋_GBK"/>
                <w:kern w:val="0"/>
                <w:szCs w:val="21"/>
              </w:rPr>
            </w:pPr>
            <w:r>
              <w:rPr>
                <w:rFonts w:eastAsia="方正仿宋_GBK"/>
                <w:kern w:val="0"/>
                <w:szCs w:val="21"/>
              </w:rPr>
              <w:t>3、投标文件无法定代表人签字，或签字人无法定代表有效授权书的；</w:t>
            </w:r>
          </w:p>
          <w:p>
            <w:pPr>
              <w:widowControl/>
              <w:spacing w:line="340" w:lineRule="exact"/>
              <w:rPr>
                <w:rFonts w:eastAsia="方正仿宋_GBK"/>
                <w:kern w:val="0"/>
                <w:szCs w:val="21"/>
              </w:rPr>
            </w:pPr>
            <w:r>
              <w:rPr>
                <w:rFonts w:eastAsia="方正仿宋_GBK"/>
                <w:kern w:val="0"/>
                <w:szCs w:val="21"/>
              </w:rPr>
              <w:t>4、投标有效期不足的。</w:t>
            </w:r>
          </w:p>
        </w:tc>
      </w:tr>
      <w:tr>
        <w:tblPrEx>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22</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spacing w:line="340" w:lineRule="exact"/>
              <w:jc w:val="center"/>
              <w:rPr>
                <w:rFonts w:eastAsia="方正仿宋_GBK"/>
                <w:b/>
                <w:kern w:val="0"/>
                <w:szCs w:val="21"/>
              </w:rPr>
            </w:pPr>
            <w:r>
              <w:rPr>
                <w:rFonts w:eastAsia="方正仿宋_GBK"/>
                <w:b/>
                <w:kern w:val="0"/>
                <w:szCs w:val="21"/>
              </w:rPr>
              <w:t>评标办法及评分标准</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1、由重庆盛普物资有限公司进行资格后审，资格后审合格的投标人的投标为有效投标。</w:t>
            </w:r>
          </w:p>
        </w:tc>
      </w:tr>
      <w:tr>
        <w:tblPrEx>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40" w:lineRule="exact"/>
              <w:jc w:val="left"/>
              <w:rPr>
                <w:rFonts w:eastAsia="方正仿宋_GBK"/>
                <w:kern w:val="0"/>
                <w:szCs w:val="21"/>
              </w:rPr>
            </w:pPr>
          </w:p>
        </w:tc>
        <w:tc>
          <w:tcPr>
            <w:tcW w:w="1701" w:type="dxa"/>
            <w:vMerge w:val="continue"/>
            <w:tcBorders>
              <w:top w:val="nil"/>
              <w:left w:val="single" w:color="auto" w:sz="4" w:space="0"/>
              <w:bottom w:val="single" w:color="auto" w:sz="4" w:space="0"/>
              <w:right w:val="nil"/>
            </w:tcBorders>
            <w:vAlign w:val="center"/>
          </w:tcPr>
          <w:p>
            <w:pPr>
              <w:widowControl/>
              <w:spacing w:line="340" w:lineRule="exact"/>
              <w:jc w:val="left"/>
              <w:rPr>
                <w:rFonts w:eastAsia="方正仿宋_GBK"/>
                <w:kern w:val="0"/>
                <w:szCs w:val="21"/>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spacing w:line="340" w:lineRule="exact"/>
              <w:rPr>
                <w:rFonts w:eastAsia="方正仿宋_GBK"/>
                <w:kern w:val="0"/>
                <w:szCs w:val="21"/>
              </w:rPr>
            </w:pPr>
            <w:r>
              <w:rPr>
                <w:rFonts w:eastAsia="方正仿宋_GBK"/>
                <w:kern w:val="0"/>
                <w:szCs w:val="21"/>
              </w:rPr>
              <w:t>2、具体评标办法及评分标准见第二部分：</w:t>
            </w:r>
            <w:r>
              <w:rPr>
                <w:rFonts w:eastAsia="方正仿宋_GBK"/>
                <w:kern w:val="0"/>
                <w:szCs w:val="21"/>
                <w:u w:val="single"/>
              </w:rPr>
              <w:t>《评标办法》</w:t>
            </w:r>
          </w:p>
        </w:tc>
      </w:tr>
    </w:tbl>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spacing w:line="500" w:lineRule="exact"/>
        <w:ind w:firstLine="548" w:firstLineChars="196"/>
        <w:rPr>
          <w:rFonts w:eastAsia="方正黑体_GBK"/>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eastAsia="方正黑体_GBK"/>
          <w:bCs/>
          <w:sz w:val="28"/>
          <w:szCs w:val="28"/>
        </w:rPr>
      </w:pPr>
      <w:r>
        <w:rPr>
          <w:rFonts w:eastAsia="方正黑体_GBK"/>
          <w:bCs/>
          <w:sz w:val="28"/>
          <w:szCs w:val="28"/>
        </w:rPr>
        <w:t>一、总   则</w:t>
      </w:r>
      <w:bookmarkEnd w:id="27"/>
      <w:bookmarkEnd w:id="28"/>
      <w:bookmarkEnd w:id="29"/>
      <w:bookmarkEnd w:id="30"/>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eastAsia="方正仿宋_GBK"/>
          <w:b/>
          <w:sz w:val="28"/>
          <w:szCs w:val="28"/>
        </w:rPr>
      </w:pPr>
      <w:r>
        <w:rPr>
          <w:rFonts w:eastAsia="方正仿宋_GBK"/>
          <w:b/>
          <w:bCs/>
          <w:sz w:val="28"/>
          <w:szCs w:val="28"/>
        </w:rPr>
        <w:t>1.项目说明</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1.1本招标项目说明详见本须知前附表第l项～第1</w:t>
      </w:r>
      <w:r>
        <w:rPr>
          <w:rFonts w:hint="eastAsia" w:eastAsia="方正仿宋_GBK"/>
          <w:bCs/>
          <w:sz w:val="28"/>
          <w:szCs w:val="28"/>
          <w:lang w:val="en-US" w:eastAsia="zh-CN"/>
        </w:rPr>
        <w:t>1</w:t>
      </w:r>
      <w:r>
        <w:rPr>
          <w:rFonts w:eastAsia="方正仿宋_GBK"/>
          <w:bCs/>
          <w:sz w:val="28"/>
          <w:szCs w:val="28"/>
        </w:rPr>
        <w:t>项；</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1.2本谈判项目按照《中华人民共和国招标投标法》等有关法律、行政法规和规章，通过招标方式选定中标人。</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eastAsia="方正仿宋_GBK"/>
          <w:b/>
          <w:bCs/>
          <w:sz w:val="28"/>
          <w:szCs w:val="28"/>
        </w:rPr>
      </w:pPr>
      <w:r>
        <w:rPr>
          <w:rFonts w:eastAsia="方正仿宋_GBK"/>
          <w:b/>
          <w:bCs/>
          <w:sz w:val="28"/>
          <w:szCs w:val="28"/>
        </w:rPr>
        <w:t>2.合格的投标人</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eastAsia="方正仿宋_GBK"/>
          <w:sz w:val="28"/>
          <w:szCs w:val="28"/>
        </w:rPr>
      </w:pPr>
      <w:r>
        <w:rPr>
          <w:rFonts w:eastAsia="方正仿宋_GBK"/>
          <w:sz w:val="28"/>
          <w:szCs w:val="28"/>
        </w:rPr>
        <w:t>凡通过我公司资格后审的，并遵守</w:t>
      </w:r>
      <w:r>
        <w:rPr>
          <w:rFonts w:eastAsia="方正仿宋_GBK"/>
          <w:bCs/>
          <w:sz w:val="28"/>
          <w:szCs w:val="28"/>
        </w:rPr>
        <w:t>《中华人民共和国招标投标法》</w:t>
      </w:r>
      <w:r>
        <w:rPr>
          <w:rFonts w:eastAsia="方正仿宋_GBK"/>
          <w:sz w:val="28"/>
          <w:szCs w:val="28"/>
        </w:rPr>
        <w:t>及有关的国家法律、法规和条例的潜在投标人均可自愿参加投标。</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eastAsia="方正仿宋_GBK"/>
          <w:b/>
          <w:bCs/>
          <w:sz w:val="28"/>
          <w:szCs w:val="28"/>
        </w:rPr>
      </w:pPr>
      <w:r>
        <w:rPr>
          <w:rFonts w:eastAsia="方正仿宋_GBK"/>
          <w:b/>
          <w:bCs/>
          <w:sz w:val="28"/>
          <w:szCs w:val="28"/>
        </w:rPr>
        <w:t>3.投标费用</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无论投标过程中的作法和结果如何，投标人均应自行承担其参加本招标活动自身所发生的所有费用。</w:t>
      </w:r>
      <w:bookmarkStart w:id="37" w:name="_Toc232761847"/>
      <w:bookmarkStart w:id="38" w:name="_Toc232762155"/>
      <w:bookmarkStart w:id="39" w:name="_Toc232762236"/>
      <w:bookmarkStart w:id="40" w:name="_Toc232568053"/>
      <w:bookmarkStart w:id="41" w:name="_Toc232761305"/>
      <w:bookmarkStart w:id="42" w:name="_Toc232762577"/>
      <w:bookmarkStart w:id="43" w:name="_Toc232760995"/>
      <w:bookmarkStart w:id="44" w:name="_Toc232581780"/>
      <w:bookmarkStart w:id="45" w:name="_Toc232582270"/>
      <w:bookmarkStart w:id="46" w:name="_Toc232583433"/>
    </w:p>
    <w:p>
      <w:pPr>
        <w:keepNext w:val="0"/>
        <w:keepLines w:val="0"/>
        <w:pageBreakBefore w:val="0"/>
        <w:widowControl w:val="0"/>
        <w:kinsoku/>
        <w:wordWrap/>
        <w:overflowPunct/>
        <w:topLinePunct w:val="0"/>
        <w:autoSpaceDE/>
        <w:autoSpaceDN/>
        <w:bidi w:val="0"/>
        <w:adjustRightInd/>
        <w:snapToGrid/>
        <w:spacing w:before="313" w:beforeLines="100" w:line="500" w:lineRule="exact"/>
        <w:ind w:firstLine="548" w:firstLineChars="196"/>
        <w:textAlignment w:val="auto"/>
        <w:rPr>
          <w:rFonts w:eastAsia="方正黑体_GBK"/>
          <w:bCs/>
          <w:sz w:val="28"/>
          <w:szCs w:val="28"/>
        </w:rPr>
      </w:pPr>
      <w:r>
        <w:rPr>
          <w:rFonts w:eastAsia="方正黑体_GBK"/>
          <w:bCs/>
          <w:sz w:val="28"/>
          <w:szCs w:val="28"/>
        </w:rPr>
        <w:t>二、招标文件</w:t>
      </w:r>
      <w:bookmarkEnd w:id="37"/>
      <w:bookmarkEnd w:id="38"/>
      <w:bookmarkEnd w:id="39"/>
      <w:bookmarkEnd w:id="40"/>
      <w:bookmarkEnd w:id="41"/>
      <w:bookmarkEnd w:id="42"/>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投标人应详细阅读招标文件的全部内容。不按招标文件的要求提供的投标文件和资料，可能导致投标被拒绝。</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4.招标文件的组成</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4.1第一部分  投标人须知</w:t>
      </w:r>
    </w:p>
    <w:p>
      <w:pPr>
        <w:keepNext w:val="0"/>
        <w:keepLines w:val="0"/>
        <w:pageBreakBefore w:val="0"/>
        <w:widowControl w:val="0"/>
        <w:kinsoku/>
        <w:wordWrap/>
        <w:overflowPunct/>
        <w:topLinePunct w:val="0"/>
        <w:autoSpaceDE/>
        <w:autoSpaceDN/>
        <w:bidi w:val="0"/>
        <w:adjustRightInd/>
        <w:snapToGrid/>
        <w:spacing w:line="500" w:lineRule="exact"/>
        <w:ind w:right="-176" w:rightChars="-84"/>
        <w:textAlignment w:val="auto"/>
        <w:rPr>
          <w:rFonts w:eastAsia="方正仿宋_GBK"/>
          <w:bCs/>
          <w:sz w:val="28"/>
          <w:szCs w:val="28"/>
        </w:rPr>
      </w:pPr>
      <w:r>
        <w:rPr>
          <w:rFonts w:eastAsia="方正仿宋_GBK"/>
          <w:bCs/>
          <w:sz w:val="28"/>
          <w:szCs w:val="28"/>
        </w:rPr>
        <w:t>　　4.2第二部分　评标办法（综合评估法）</w:t>
      </w:r>
    </w:p>
    <w:p>
      <w:pPr>
        <w:keepNext w:val="0"/>
        <w:keepLines w:val="0"/>
        <w:pageBreakBefore w:val="0"/>
        <w:widowControl w:val="0"/>
        <w:kinsoku/>
        <w:wordWrap/>
        <w:overflowPunct/>
        <w:topLinePunct w:val="0"/>
        <w:autoSpaceDE/>
        <w:autoSpaceDN/>
        <w:bidi w:val="0"/>
        <w:adjustRightInd/>
        <w:snapToGrid/>
        <w:spacing w:line="500" w:lineRule="exact"/>
        <w:ind w:right="-176" w:rightChars="-84"/>
        <w:textAlignment w:val="auto"/>
        <w:rPr>
          <w:rFonts w:eastAsia="方正仿宋_GBK"/>
          <w:bCs/>
          <w:sz w:val="28"/>
          <w:szCs w:val="28"/>
        </w:rPr>
      </w:pPr>
      <w:r>
        <w:rPr>
          <w:rFonts w:eastAsia="方正仿宋_GBK"/>
          <w:bCs/>
          <w:sz w:val="28"/>
          <w:szCs w:val="28"/>
        </w:rPr>
        <w:t>　　4.3第三部分　合同条款及格式</w:t>
      </w:r>
    </w:p>
    <w:p>
      <w:pPr>
        <w:keepNext w:val="0"/>
        <w:keepLines w:val="0"/>
        <w:pageBreakBefore w:val="0"/>
        <w:widowControl w:val="0"/>
        <w:kinsoku/>
        <w:wordWrap/>
        <w:overflowPunct/>
        <w:topLinePunct w:val="0"/>
        <w:autoSpaceDE/>
        <w:autoSpaceDN/>
        <w:bidi w:val="0"/>
        <w:adjustRightInd/>
        <w:snapToGrid/>
        <w:spacing w:line="500" w:lineRule="exact"/>
        <w:ind w:right="-176" w:rightChars="-84"/>
        <w:textAlignment w:val="auto"/>
        <w:rPr>
          <w:rFonts w:eastAsia="方正仿宋_GBK"/>
          <w:bCs/>
          <w:sz w:val="28"/>
          <w:szCs w:val="28"/>
        </w:rPr>
      </w:pPr>
      <w:r>
        <w:rPr>
          <w:rFonts w:eastAsia="方正仿宋_GBK"/>
          <w:bCs/>
          <w:sz w:val="28"/>
          <w:szCs w:val="28"/>
        </w:rPr>
        <w:t>　　4.4第四部分　其他要求</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5.招标文件的澄清与修改</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u w:val="single"/>
        </w:rPr>
      </w:pPr>
      <w:r>
        <w:rPr>
          <w:rFonts w:eastAsia="方正仿宋_GBK"/>
          <w:bCs/>
          <w:sz w:val="28"/>
          <w:szCs w:val="28"/>
        </w:rPr>
        <w:t>5.1投标人若对招标文件有任何疑问，应于投标截止日期前采用书面质询的方式。递交书面质疑的截止时间：</w:t>
      </w:r>
      <w:r>
        <w:rPr>
          <w:rFonts w:eastAsia="方正仿宋_GBK"/>
          <w:bCs/>
          <w:sz w:val="28"/>
          <w:szCs w:val="28"/>
          <w:u w:val="single"/>
        </w:rPr>
        <w:t>2023</w:t>
      </w:r>
      <w:r>
        <w:rPr>
          <w:rFonts w:eastAsia="方正仿宋_GBK"/>
          <w:bCs/>
          <w:sz w:val="28"/>
          <w:szCs w:val="28"/>
        </w:rPr>
        <w:t>年</w:t>
      </w:r>
      <w:r>
        <w:rPr>
          <w:rFonts w:hint="eastAsia" w:eastAsia="方正仿宋_GBK"/>
          <w:bCs/>
          <w:sz w:val="28"/>
          <w:szCs w:val="28"/>
          <w:u w:val="single"/>
        </w:rPr>
        <w:t>0</w:t>
      </w:r>
      <w:r>
        <w:rPr>
          <w:rFonts w:hint="eastAsia" w:eastAsia="方正仿宋_GBK"/>
          <w:bCs/>
          <w:sz w:val="28"/>
          <w:szCs w:val="28"/>
          <w:u w:val="single"/>
          <w:lang w:val="en-US" w:eastAsia="zh-CN"/>
        </w:rPr>
        <w:t>3</w:t>
      </w:r>
      <w:r>
        <w:rPr>
          <w:rFonts w:eastAsia="方正仿宋_GBK"/>
          <w:bCs/>
          <w:sz w:val="28"/>
          <w:szCs w:val="28"/>
        </w:rPr>
        <w:t>月</w:t>
      </w:r>
      <w:r>
        <w:rPr>
          <w:rFonts w:hint="eastAsia" w:eastAsia="方正仿宋_GBK"/>
          <w:bCs/>
          <w:sz w:val="28"/>
          <w:szCs w:val="28"/>
          <w:u w:val="single"/>
          <w:lang w:val="en-US" w:eastAsia="zh-CN"/>
        </w:rPr>
        <w:t>01</w:t>
      </w:r>
      <w:r>
        <w:rPr>
          <w:rFonts w:eastAsia="方正仿宋_GBK"/>
          <w:bCs/>
          <w:sz w:val="28"/>
          <w:szCs w:val="28"/>
        </w:rPr>
        <w:t>日北京时间</w:t>
      </w:r>
      <w:r>
        <w:rPr>
          <w:rFonts w:eastAsia="方正仿宋_GBK"/>
          <w:bCs/>
          <w:sz w:val="28"/>
          <w:szCs w:val="28"/>
          <w:u w:val="single"/>
        </w:rPr>
        <w:t>12：00</w:t>
      </w:r>
      <w:r>
        <w:rPr>
          <w:rFonts w:eastAsia="方正仿宋_GBK"/>
          <w:bCs/>
          <w:sz w:val="28"/>
          <w:szCs w:val="28"/>
        </w:rPr>
        <w:t>时前；领取招标人答疑及补遗的时间：</w:t>
      </w:r>
      <w:r>
        <w:rPr>
          <w:rFonts w:eastAsia="方正仿宋_GBK"/>
          <w:bCs/>
          <w:sz w:val="28"/>
          <w:szCs w:val="28"/>
          <w:u w:val="single"/>
        </w:rPr>
        <w:t>2023</w:t>
      </w:r>
      <w:r>
        <w:rPr>
          <w:rFonts w:eastAsia="方正仿宋_GBK"/>
          <w:bCs/>
          <w:sz w:val="28"/>
          <w:szCs w:val="28"/>
        </w:rPr>
        <w:t>年</w:t>
      </w:r>
      <w:r>
        <w:rPr>
          <w:rFonts w:hint="eastAsia" w:eastAsia="方正仿宋_GBK"/>
          <w:bCs/>
          <w:sz w:val="28"/>
          <w:szCs w:val="28"/>
          <w:u w:val="single"/>
          <w:lang w:val="en-US" w:eastAsia="zh-CN"/>
        </w:rPr>
        <w:t>03</w:t>
      </w:r>
      <w:r>
        <w:rPr>
          <w:rFonts w:eastAsia="方正仿宋_GBK"/>
          <w:bCs/>
          <w:sz w:val="28"/>
          <w:szCs w:val="28"/>
        </w:rPr>
        <w:t>月</w:t>
      </w:r>
      <w:r>
        <w:rPr>
          <w:rFonts w:hint="eastAsia" w:eastAsia="方正仿宋_GBK"/>
          <w:bCs/>
          <w:sz w:val="28"/>
          <w:szCs w:val="28"/>
          <w:u w:val="single"/>
          <w:lang w:val="en-US" w:eastAsia="zh-CN"/>
        </w:rPr>
        <w:t>02</w:t>
      </w:r>
      <w:r>
        <w:rPr>
          <w:rFonts w:eastAsia="方正仿宋_GBK"/>
          <w:bCs/>
          <w:sz w:val="28"/>
          <w:szCs w:val="28"/>
        </w:rPr>
        <w:t xml:space="preserve">北京时间 </w:t>
      </w:r>
      <w:r>
        <w:rPr>
          <w:rFonts w:eastAsia="方正仿宋_GBK"/>
          <w:bCs/>
          <w:sz w:val="28"/>
          <w:szCs w:val="28"/>
          <w:u w:val="single"/>
        </w:rPr>
        <w:t>1</w:t>
      </w:r>
      <w:r>
        <w:rPr>
          <w:rFonts w:hint="eastAsia" w:eastAsia="方正仿宋_GBK"/>
          <w:bCs/>
          <w:sz w:val="28"/>
          <w:szCs w:val="28"/>
          <w:u w:val="single"/>
          <w:lang w:val="en-US" w:eastAsia="zh-CN"/>
        </w:rPr>
        <w:t>2</w:t>
      </w:r>
      <w:r>
        <w:rPr>
          <w:rFonts w:eastAsia="方正仿宋_GBK"/>
          <w:bCs/>
          <w:sz w:val="28"/>
          <w:szCs w:val="28"/>
          <w:u w:val="single"/>
        </w:rPr>
        <w:t>：00</w:t>
      </w:r>
      <w:r>
        <w:rPr>
          <w:rFonts w:eastAsia="方正仿宋_GBK"/>
          <w:bCs/>
          <w:sz w:val="28"/>
          <w:szCs w:val="28"/>
        </w:rPr>
        <w:t>时前。递交书面质疑或领取答疑及补遗的地点：</w:t>
      </w:r>
      <w:r>
        <w:rPr>
          <w:rFonts w:hint="eastAsia" w:eastAsia="方正仿宋_GBK"/>
          <w:bCs/>
          <w:sz w:val="28"/>
          <w:szCs w:val="28"/>
          <w:u w:val="single"/>
        </w:rPr>
        <w:t>重庆市南岸区江溪路6号重庆盛普物资有限公司（机电股份科技大楼四层）。</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5.2在投标截止时间前，招标人无论出于自己的考虑，还是出于对投标人提问的澄清，均可对招标文件用补充文件的方式进行修改。对招标文件的修改，将以书面或传真的形式，通知已购买招标文件的每一位潜在投标人。补充文件将作为招标文件的组成部分，对所有投标人均有相同约束力。</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5.3投标人在收到该澄清或修改文件后应于</w:t>
      </w:r>
      <w:r>
        <w:rPr>
          <w:rFonts w:eastAsia="方正仿宋_GBK"/>
          <w:bCs/>
          <w:sz w:val="28"/>
          <w:szCs w:val="28"/>
          <w:u w:val="single"/>
        </w:rPr>
        <w:t>1</w:t>
      </w:r>
      <w:r>
        <w:rPr>
          <w:rFonts w:eastAsia="方正仿宋_GBK"/>
          <w:bCs/>
          <w:sz w:val="28"/>
          <w:szCs w:val="28"/>
        </w:rPr>
        <w:t>日内，以</w:t>
      </w:r>
      <w:r>
        <w:rPr>
          <w:rFonts w:hint="eastAsia" w:eastAsia="方正仿宋_GBK"/>
          <w:bCs/>
          <w:sz w:val="28"/>
          <w:szCs w:val="28"/>
        </w:rPr>
        <w:t>加盖公章的扫描件形式通过电子邮件</w:t>
      </w:r>
      <w:r>
        <w:rPr>
          <w:rFonts w:eastAsia="方正仿宋_GBK"/>
          <w:bCs/>
          <w:sz w:val="28"/>
          <w:szCs w:val="28"/>
        </w:rPr>
        <w:t>向招标人回函确认。如果投标人在规定的时间内不回函招标人，招标人将视为投标人已收到文件，招标人对此造成的任何后果不承担任何责任。该澄清或修改作为招标文件的组成部分，对所有的投标人均具有约束作用。</w:t>
      </w:r>
    </w:p>
    <w:p>
      <w:pPr>
        <w:keepNext w:val="0"/>
        <w:keepLines w:val="0"/>
        <w:pageBreakBefore w:val="0"/>
        <w:widowControl w:val="0"/>
        <w:kinsoku/>
        <w:wordWrap/>
        <w:overflowPunct/>
        <w:topLinePunct w:val="0"/>
        <w:autoSpaceDE/>
        <w:autoSpaceDN/>
        <w:bidi w:val="0"/>
        <w:adjustRightInd/>
        <w:snapToGrid/>
        <w:spacing w:before="313" w:beforeLines="100" w:line="500" w:lineRule="exact"/>
        <w:ind w:right="-176" w:rightChars="-84" w:firstLine="560" w:firstLineChars="200"/>
        <w:textAlignment w:val="auto"/>
        <w:rPr>
          <w:rFonts w:eastAsia="方正黑体_GBK"/>
          <w:bCs/>
          <w:sz w:val="28"/>
          <w:szCs w:val="28"/>
        </w:rPr>
      </w:pPr>
      <w:bookmarkStart w:id="47" w:name="_Toc232762578"/>
      <w:bookmarkStart w:id="48" w:name="_Toc232761306"/>
      <w:bookmarkStart w:id="49" w:name="_Toc232762237"/>
      <w:bookmarkStart w:id="50" w:name="_Toc232581781"/>
      <w:bookmarkStart w:id="51" w:name="_Toc232568054"/>
      <w:bookmarkStart w:id="52" w:name="_Toc232583434"/>
      <w:bookmarkStart w:id="53" w:name="_Toc232762156"/>
      <w:bookmarkStart w:id="54" w:name="_Toc232761848"/>
      <w:bookmarkStart w:id="55" w:name="_Toc232582271"/>
      <w:bookmarkStart w:id="56" w:name="_Toc232760996"/>
      <w:r>
        <w:rPr>
          <w:rFonts w:eastAsia="方正黑体_GBK"/>
          <w:bCs/>
          <w:sz w:val="28"/>
          <w:szCs w:val="28"/>
        </w:rPr>
        <w:t>三、投标文件</w:t>
      </w:r>
      <w:bookmarkEnd w:id="47"/>
      <w:bookmarkEnd w:id="48"/>
      <w:bookmarkEnd w:id="49"/>
      <w:bookmarkEnd w:id="50"/>
      <w:bookmarkEnd w:id="51"/>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6.投标文件的组成</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6.1封面</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6.2投标函</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6.3已标价的投标报价表</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6.4可提供增值服务证明</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6.5法定代表人身份证明及授权委托书</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6.6招标文件要求投标人提交的其他投标资料</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7.投标报价</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7.1投标人可先到重庆机电集团所属企业了解供电要求等任何其他足以影响投标报价的情况。</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7.2投标人确定自身现行分时段电价，包括尖、峰、平、谷4个时段电价。投标人应承诺，即使中标，如遇政府政策文件调整，以调整后政策文件为准。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楷体"/>
          <w:sz w:val="28"/>
          <w:szCs w:val="28"/>
        </w:rPr>
      </w:pPr>
      <w:r>
        <w:rPr>
          <w:rFonts w:eastAsia="方正仿宋_GBK"/>
          <w:sz w:val="28"/>
          <w:szCs w:val="28"/>
        </w:rPr>
        <w:t>7.3投标人不得以低于成本的报价竞标，也不得以他人名义投标或者以其他方式弄虚作假骗取中标，否则，招标人有权没收投标人的投标保证金。</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8.投标有效期</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8.1投标有效期见本须知前附表第12项所规定的期限，在此期限内，凡符合本招标文件要求的投标文件均保持有效。</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8.2在特殊情况下，招标人在原定投标有效期内，可以根据需要以书面形式向投标人提出延长投标有效期的要求，对此要求投标人须以书面形式予以答复，投标人有权拒绝招标人此要求</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8.3同意延长投标有效期的投标人不允许修改其投标文件。</w:t>
      </w:r>
    </w:p>
    <w:p>
      <w:pPr>
        <w:keepNext w:val="0"/>
        <w:keepLines w:val="0"/>
        <w:pageBreakBefore w:val="0"/>
        <w:widowControl w:val="0"/>
        <w:kinsoku/>
        <w:wordWrap/>
        <w:overflowPunct/>
        <w:topLinePunct w:val="0"/>
        <w:autoSpaceDE/>
        <w:autoSpaceDN/>
        <w:bidi w:val="0"/>
        <w:adjustRightInd/>
        <w:snapToGrid/>
        <w:spacing w:before="313" w:beforeLines="100" w:line="500" w:lineRule="exact"/>
        <w:ind w:right="-176" w:rightChars="-84" w:firstLine="560" w:firstLineChars="200"/>
        <w:textAlignment w:val="auto"/>
        <w:rPr>
          <w:rFonts w:eastAsia="方正黑体_GBK"/>
          <w:sz w:val="28"/>
          <w:szCs w:val="28"/>
        </w:rPr>
      </w:pPr>
      <w:bookmarkStart w:id="57" w:name="_Toc232568055"/>
      <w:bookmarkStart w:id="58" w:name="_Toc232760997"/>
      <w:bookmarkStart w:id="59" w:name="_Toc232581782"/>
      <w:bookmarkStart w:id="60" w:name="_Toc232762238"/>
      <w:bookmarkStart w:id="61" w:name="_Toc232761307"/>
      <w:bookmarkStart w:id="62" w:name="_Toc232762157"/>
      <w:bookmarkStart w:id="63" w:name="_Toc232583435"/>
      <w:bookmarkStart w:id="64" w:name="_Toc232761849"/>
      <w:bookmarkStart w:id="65" w:name="_Toc232582272"/>
      <w:bookmarkStart w:id="66" w:name="_Toc232762579"/>
      <w:r>
        <w:rPr>
          <w:rFonts w:eastAsia="方正黑体_GBK"/>
          <w:sz w:val="28"/>
          <w:szCs w:val="28"/>
        </w:rPr>
        <w:t>四、投标</w:t>
      </w:r>
      <w:bookmarkEnd w:id="57"/>
      <w:bookmarkEnd w:id="58"/>
      <w:bookmarkEnd w:id="59"/>
      <w:bookmarkEnd w:id="60"/>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9.投标文件的装订、密封和标记</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投标人应严格按本须知第19项要求对投标文件进行装订及密封。</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10.迟交的投标文件</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招标人在本须知第17条规定的投标截止时间以后收到的投标文件，将被拒绝并退回给投标人。</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11.投标文件的补充、修改与撤回</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11.1投标人在提交投标文件以后，在规定的投标截止时间之前，可以书面形式补充修改或撤回已提交的投标文件，并以书面形式通知招标人。补充、修改的内容为投标文件的有效组成部分。</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11.2投标人对投标文件的补充、修改，应按本须知第19条有关规定密封、标记和提交，并在投标文件密封袋上清楚标明“补充、修改”或“撤回”字样。</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11.3在投标文件提交的截止时间之后至投标有效期满之前，投标人不得撤回其投书标文件，否则其投标保证金招标人将不予退还。</w:t>
      </w:r>
      <w:bookmarkStart w:id="67" w:name="_Toc232581784"/>
      <w:bookmarkStart w:id="68" w:name="_Toc232760999"/>
      <w:bookmarkStart w:id="69" w:name="_Toc232761309"/>
      <w:bookmarkStart w:id="70" w:name="_Toc232762159"/>
      <w:bookmarkStart w:id="71" w:name="_Toc232762581"/>
      <w:bookmarkStart w:id="72" w:name="_Toc232582274"/>
      <w:bookmarkStart w:id="73" w:name="_Toc232568057"/>
      <w:bookmarkStart w:id="74" w:name="_Toc232762240"/>
      <w:bookmarkStart w:id="75" w:name="_Toc232583437"/>
      <w:bookmarkStart w:id="76" w:name="_Toc232761851"/>
    </w:p>
    <w:p>
      <w:pPr>
        <w:keepNext w:val="0"/>
        <w:keepLines w:val="0"/>
        <w:pageBreakBefore w:val="0"/>
        <w:widowControl w:val="0"/>
        <w:kinsoku/>
        <w:wordWrap/>
        <w:overflowPunct/>
        <w:topLinePunct w:val="0"/>
        <w:autoSpaceDE/>
        <w:autoSpaceDN/>
        <w:bidi w:val="0"/>
        <w:adjustRightInd/>
        <w:snapToGrid/>
        <w:spacing w:before="313" w:beforeLines="100" w:line="500" w:lineRule="exact"/>
        <w:ind w:right="-176" w:rightChars="-84" w:firstLine="560" w:firstLineChars="200"/>
        <w:textAlignment w:val="auto"/>
        <w:rPr>
          <w:rFonts w:eastAsia="方正黑体_GBK"/>
          <w:sz w:val="28"/>
          <w:szCs w:val="28"/>
        </w:rPr>
      </w:pPr>
      <w:r>
        <w:rPr>
          <w:rFonts w:eastAsia="方正黑体_GBK"/>
          <w:sz w:val="28"/>
          <w:szCs w:val="28"/>
        </w:rPr>
        <w:t>五、开标</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12.1招标人按照招标文件规定的时间、地点主持公开开标。</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12.2投标人可派代表参加开标仪式。</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12.3开标时查验投标文件的密封情况，确认无误拆封唱标。</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12.4招标人在开标仪式上，公布投标人名称、投标标的物名称、投标价格及其投标的修改等内容，工作人员将做好唱标记录。</w:t>
      </w:r>
    </w:p>
    <w:p>
      <w:pPr>
        <w:keepNext w:val="0"/>
        <w:keepLines w:val="0"/>
        <w:pageBreakBefore w:val="0"/>
        <w:widowControl w:val="0"/>
        <w:kinsoku/>
        <w:wordWrap/>
        <w:overflowPunct/>
        <w:topLinePunct w:val="0"/>
        <w:autoSpaceDE/>
        <w:autoSpaceDN/>
        <w:bidi w:val="0"/>
        <w:adjustRightInd/>
        <w:snapToGrid/>
        <w:spacing w:before="313" w:beforeLines="100" w:line="500" w:lineRule="exact"/>
        <w:ind w:right="-176" w:rightChars="-84" w:firstLine="560" w:firstLineChars="200"/>
        <w:textAlignment w:val="auto"/>
        <w:rPr>
          <w:rFonts w:eastAsia="方正黑体_GBK"/>
          <w:sz w:val="28"/>
          <w:szCs w:val="28"/>
        </w:rPr>
      </w:pPr>
      <w:r>
        <w:rPr>
          <w:rFonts w:eastAsia="方正黑体_GBK"/>
          <w:sz w:val="28"/>
          <w:szCs w:val="28"/>
        </w:rPr>
        <w:t>六、评 标</w:t>
      </w:r>
      <w:bookmarkEnd w:id="67"/>
      <w:bookmarkEnd w:id="68"/>
      <w:bookmarkEnd w:id="69"/>
      <w:bookmarkEnd w:id="70"/>
      <w:bookmarkEnd w:id="71"/>
      <w:bookmarkEnd w:id="72"/>
      <w:bookmarkEnd w:id="73"/>
      <w:bookmarkEnd w:id="74"/>
      <w:bookmarkEnd w:id="75"/>
      <w:bookmarkEnd w:id="76"/>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eastAsia="方正仿宋_GBK"/>
          <w:b/>
          <w:bCs/>
          <w:sz w:val="28"/>
          <w:szCs w:val="28"/>
        </w:rPr>
      </w:pPr>
      <w:r>
        <w:rPr>
          <w:rFonts w:eastAsia="方正仿宋_GBK"/>
          <w:b/>
          <w:bCs/>
          <w:sz w:val="28"/>
          <w:szCs w:val="28"/>
        </w:rPr>
        <w:t>13.评标委员会与评标</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13.1招标人依据招标项目特点负责依法组建评标委员会。</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13.2评标采用保密方式进行。</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13.3具体评标办法及评分标准详见第二部分《评标办法》。</w:t>
      </w:r>
    </w:p>
    <w:p>
      <w:pPr>
        <w:keepNext w:val="0"/>
        <w:keepLines w:val="0"/>
        <w:pageBreakBefore w:val="0"/>
        <w:widowControl w:val="0"/>
        <w:kinsoku/>
        <w:wordWrap/>
        <w:overflowPunct/>
        <w:topLinePunct w:val="0"/>
        <w:autoSpaceDE/>
        <w:autoSpaceDN/>
        <w:bidi w:val="0"/>
        <w:adjustRightInd/>
        <w:snapToGrid/>
        <w:spacing w:before="313" w:beforeLines="100" w:line="500" w:lineRule="exact"/>
        <w:ind w:right="-176" w:rightChars="-84" w:firstLine="560" w:firstLineChars="200"/>
        <w:textAlignment w:val="auto"/>
        <w:rPr>
          <w:rFonts w:eastAsia="方正黑体_GBK"/>
          <w:sz w:val="28"/>
          <w:szCs w:val="28"/>
        </w:rPr>
      </w:pPr>
      <w:r>
        <w:rPr>
          <w:rFonts w:eastAsia="方正黑体_GBK"/>
          <w:sz w:val="28"/>
          <w:szCs w:val="28"/>
        </w:rPr>
        <w:t>七、中标</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eastAsia="方正仿宋_GBK"/>
          <w:b/>
          <w:bCs/>
          <w:sz w:val="28"/>
          <w:szCs w:val="28"/>
        </w:rPr>
      </w:pPr>
      <w:r>
        <w:rPr>
          <w:rFonts w:eastAsia="方正仿宋_GBK"/>
          <w:b/>
          <w:bCs/>
          <w:sz w:val="28"/>
          <w:szCs w:val="28"/>
        </w:rPr>
        <w:t>14.中标确定</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rPr>
      </w:pPr>
      <w:r>
        <w:rPr>
          <w:rFonts w:eastAsia="方正仿宋_GBK"/>
          <w:bCs/>
          <w:sz w:val="28"/>
          <w:szCs w:val="28"/>
        </w:rPr>
        <w:t>14.1招标人以总得分的高低确定中标人。</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15.中标份额分配</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0" w:firstLineChars="200"/>
        <w:textAlignment w:val="auto"/>
        <w:rPr>
          <w:rFonts w:eastAsia="方正仿宋_GBK"/>
          <w:bCs/>
          <w:sz w:val="28"/>
          <w:szCs w:val="28"/>
          <w:highlight w:val="yellow"/>
        </w:rPr>
      </w:pPr>
      <w:r>
        <w:rPr>
          <w:rFonts w:eastAsia="方正仿宋_GBK"/>
          <w:bCs/>
          <w:sz w:val="28"/>
          <w:szCs w:val="28"/>
          <w:u w:val="single"/>
        </w:rPr>
        <w:t>本次招标确定1名中标人。</w:t>
      </w:r>
    </w:p>
    <w:p>
      <w:pPr>
        <w:keepNext w:val="0"/>
        <w:keepLines w:val="0"/>
        <w:pageBreakBefore w:val="0"/>
        <w:widowControl w:val="0"/>
        <w:kinsoku/>
        <w:wordWrap/>
        <w:overflowPunct/>
        <w:topLinePunct w:val="0"/>
        <w:autoSpaceDE/>
        <w:autoSpaceDN/>
        <w:bidi w:val="0"/>
        <w:adjustRightInd/>
        <w:snapToGrid/>
        <w:spacing w:before="313" w:beforeLines="100" w:line="500" w:lineRule="exact"/>
        <w:ind w:right="-176" w:rightChars="-84" w:firstLine="560" w:firstLineChars="200"/>
        <w:textAlignment w:val="auto"/>
        <w:rPr>
          <w:rFonts w:eastAsia="方正黑体_GBK"/>
          <w:sz w:val="28"/>
          <w:szCs w:val="28"/>
        </w:rPr>
      </w:pPr>
      <w:r>
        <w:rPr>
          <w:rFonts w:eastAsia="方正黑体_GBK"/>
          <w:sz w:val="28"/>
          <w:szCs w:val="28"/>
        </w:rPr>
        <w:t>八、招标过程保密</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b/>
          <w:sz w:val="28"/>
          <w:szCs w:val="28"/>
        </w:rPr>
      </w:pPr>
      <w:r>
        <w:rPr>
          <w:rFonts w:eastAsia="方正仿宋_GBK"/>
          <w:b/>
          <w:sz w:val="28"/>
          <w:szCs w:val="28"/>
        </w:rPr>
        <w:t>16.保密事项</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sz w:val="28"/>
          <w:szCs w:val="28"/>
        </w:rPr>
      </w:pPr>
      <w:r>
        <w:rPr>
          <w:rFonts w:eastAsia="方正仿宋_GBK"/>
          <w:sz w:val="28"/>
          <w:szCs w:val="28"/>
        </w:rPr>
        <w:t>16.1招标人不得向他人透露已获取招标文件的投标人的名称、数量，以及可能影响公平竞争的有关招标投标的其他情况。</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sz w:val="28"/>
          <w:szCs w:val="28"/>
        </w:rPr>
      </w:pPr>
      <w:r>
        <w:rPr>
          <w:rFonts w:eastAsia="方正仿宋_GBK"/>
          <w:sz w:val="28"/>
          <w:szCs w:val="28"/>
        </w:rPr>
        <w:t>16.2开标之后，直到授予中标人合同止，凡是属于审查、澄清、评价和比较投标的有关资料以及授标意向等，均不得向投标人或其他无关人员透露。</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sz w:val="28"/>
          <w:szCs w:val="28"/>
        </w:rPr>
      </w:pPr>
      <w:r>
        <w:rPr>
          <w:rFonts w:eastAsia="方正仿宋_GBK"/>
          <w:sz w:val="28"/>
          <w:szCs w:val="28"/>
        </w:rPr>
        <w:t>16.3评标期间，投标人企图影响招标人的任何活动，将导致其投标被拒绝，并承担相应的法律责任。</w:t>
      </w:r>
    </w:p>
    <w:p>
      <w:pPr>
        <w:keepNext w:val="0"/>
        <w:keepLines w:val="0"/>
        <w:pageBreakBefore w:val="0"/>
        <w:widowControl w:val="0"/>
        <w:kinsoku/>
        <w:wordWrap/>
        <w:overflowPunct/>
        <w:topLinePunct w:val="0"/>
        <w:autoSpaceDE/>
        <w:autoSpaceDN/>
        <w:bidi w:val="0"/>
        <w:adjustRightInd/>
        <w:snapToGrid/>
        <w:spacing w:before="313" w:beforeLines="100" w:line="500" w:lineRule="exact"/>
        <w:ind w:right="-176" w:rightChars="-84" w:firstLine="560" w:firstLineChars="200"/>
        <w:textAlignment w:val="auto"/>
        <w:rPr>
          <w:rFonts w:eastAsia="方正黑体_GBK"/>
          <w:sz w:val="28"/>
          <w:szCs w:val="28"/>
        </w:rPr>
      </w:pPr>
      <w:r>
        <w:rPr>
          <w:rFonts w:eastAsia="方正黑体_GBK"/>
          <w:sz w:val="28"/>
          <w:szCs w:val="28"/>
        </w:rPr>
        <w:t>九、授予合同</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b/>
          <w:sz w:val="28"/>
          <w:szCs w:val="28"/>
        </w:rPr>
      </w:pPr>
      <w:r>
        <w:rPr>
          <w:rFonts w:eastAsia="方正仿宋_GBK"/>
          <w:b/>
          <w:sz w:val="28"/>
          <w:szCs w:val="28"/>
        </w:rPr>
        <w:t>17.中标通知书</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sz w:val="28"/>
          <w:szCs w:val="28"/>
        </w:rPr>
      </w:pPr>
      <w:r>
        <w:rPr>
          <w:rFonts w:eastAsia="方正仿宋_GBK"/>
          <w:sz w:val="28"/>
          <w:szCs w:val="28"/>
        </w:rPr>
        <w:t>17.1</w:t>
      </w:r>
      <w:r>
        <w:rPr>
          <w:rFonts w:hint="eastAsia" w:eastAsia="方正仿宋_GBK"/>
          <w:sz w:val="28"/>
          <w:szCs w:val="28"/>
        </w:rPr>
        <w:t>开标后</w:t>
      </w:r>
      <w:r>
        <w:rPr>
          <w:rFonts w:hint="eastAsia" w:eastAsia="方正仿宋_GBK"/>
          <w:sz w:val="28"/>
          <w:szCs w:val="28"/>
          <w:u w:val="single"/>
        </w:rPr>
        <w:t>5</w:t>
      </w:r>
      <w:r>
        <w:rPr>
          <w:rFonts w:hint="eastAsia" w:eastAsia="方正仿宋_GBK"/>
          <w:sz w:val="28"/>
          <w:szCs w:val="28"/>
        </w:rPr>
        <w:t>个工作日内</w:t>
      </w:r>
      <w:r>
        <w:rPr>
          <w:rFonts w:eastAsia="方正仿宋_GBK"/>
          <w:sz w:val="28"/>
          <w:szCs w:val="28"/>
        </w:rPr>
        <w:t>，招标人以《中标通知书》形式通知所选定的中标人。</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sz w:val="28"/>
          <w:szCs w:val="28"/>
        </w:rPr>
      </w:pPr>
      <w:r>
        <w:rPr>
          <w:rFonts w:eastAsia="方正仿宋_GBK"/>
          <w:sz w:val="28"/>
          <w:szCs w:val="28"/>
        </w:rPr>
        <w:t>17.2</w:t>
      </w:r>
      <w:r>
        <w:rPr>
          <w:rFonts w:hint="eastAsia" w:eastAsia="方正仿宋_GBK"/>
          <w:sz w:val="28"/>
          <w:szCs w:val="28"/>
        </w:rPr>
        <w:t>开标后</w:t>
      </w:r>
      <w:r>
        <w:rPr>
          <w:rFonts w:hint="eastAsia" w:eastAsia="方正仿宋_GBK"/>
          <w:sz w:val="28"/>
          <w:szCs w:val="28"/>
          <w:u w:val="single"/>
        </w:rPr>
        <w:t>5</w:t>
      </w:r>
      <w:r>
        <w:rPr>
          <w:rFonts w:hint="eastAsia" w:eastAsia="方正仿宋_GBK"/>
          <w:sz w:val="28"/>
          <w:szCs w:val="28"/>
        </w:rPr>
        <w:t>个工作日内</w:t>
      </w:r>
      <w:r>
        <w:rPr>
          <w:rFonts w:eastAsia="方正仿宋_GBK"/>
          <w:sz w:val="28"/>
          <w:szCs w:val="28"/>
        </w:rPr>
        <w:t>未收到中标通知的投标方即未能中标，招标人不另发未中标通知，招标人原则上对</w:t>
      </w:r>
      <w:r>
        <w:rPr>
          <w:rFonts w:hint="eastAsia" w:eastAsia="方正仿宋_GBK"/>
          <w:sz w:val="28"/>
          <w:szCs w:val="28"/>
        </w:rPr>
        <w:t>未中</w:t>
      </w:r>
      <w:r>
        <w:rPr>
          <w:rFonts w:eastAsia="方正仿宋_GBK"/>
          <w:sz w:val="28"/>
          <w:szCs w:val="28"/>
        </w:rPr>
        <w:t>标的投标人不作原因解释。</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b/>
          <w:sz w:val="28"/>
          <w:szCs w:val="28"/>
        </w:rPr>
      </w:pPr>
      <w:r>
        <w:rPr>
          <w:rFonts w:eastAsia="方正仿宋_GBK"/>
          <w:b/>
          <w:sz w:val="28"/>
          <w:szCs w:val="28"/>
        </w:rPr>
        <w:t>18.签订合同</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sz w:val="28"/>
          <w:szCs w:val="28"/>
        </w:rPr>
      </w:pPr>
      <w:r>
        <w:rPr>
          <w:rFonts w:hint="eastAsia" w:eastAsia="方正仿宋_GBK"/>
          <w:sz w:val="28"/>
          <w:szCs w:val="28"/>
        </w:rPr>
        <w:t>18.1重庆机电集团根据招标结果及《中标通知书》，向所属企业印发《选定电力供应商的通知》，重庆机电集团及所属企业据此与中标人签订正式合同</w:t>
      </w:r>
      <w:r>
        <w:rPr>
          <w:rFonts w:eastAsia="方正仿宋_GBK"/>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70"/>
        <w:textAlignment w:val="auto"/>
        <w:rPr>
          <w:rFonts w:eastAsia="方正仿宋_GBK"/>
          <w:sz w:val="28"/>
          <w:szCs w:val="28"/>
        </w:rPr>
      </w:pPr>
      <w:r>
        <w:rPr>
          <w:rFonts w:hint="eastAsia" w:eastAsia="方正仿宋_GBK"/>
          <w:sz w:val="28"/>
          <w:szCs w:val="28"/>
        </w:rPr>
        <w:t>18.2</w:t>
      </w:r>
      <w:r>
        <w:rPr>
          <w:rFonts w:eastAsia="方正仿宋_GBK"/>
          <w:sz w:val="28"/>
          <w:szCs w:val="28"/>
        </w:rPr>
        <w:t>中标人应按中标通知书规定的时间、地点与重庆机电集团及所属企业签订中标</w:t>
      </w:r>
      <w:r>
        <w:rPr>
          <w:rFonts w:hint="eastAsia" w:eastAsia="方正仿宋_GBK"/>
          <w:sz w:val="28"/>
          <w:szCs w:val="28"/>
        </w:rPr>
        <w:t>正式</w:t>
      </w:r>
      <w:r>
        <w:rPr>
          <w:rFonts w:eastAsia="方正仿宋_GBK"/>
          <w:sz w:val="28"/>
          <w:szCs w:val="28"/>
        </w:rPr>
        <w:t>合同，否则按开标后撤回投标处理。</w:t>
      </w:r>
    </w:p>
    <w:p>
      <w:pPr>
        <w:keepNext w:val="0"/>
        <w:keepLines w:val="0"/>
        <w:pageBreakBefore w:val="0"/>
        <w:widowControl w:val="0"/>
        <w:kinsoku/>
        <w:wordWrap/>
        <w:overflowPunct/>
        <w:topLinePunct w:val="0"/>
        <w:autoSpaceDE/>
        <w:autoSpaceDN/>
        <w:bidi w:val="0"/>
        <w:adjustRightInd/>
        <w:snapToGrid/>
        <w:spacing w:line="500" w:lineRule="exact"/>
        <w:ind w:right="-176" w:rightChars="-84" w:firstLine="562" w:firstLineChars="200"/>
        <w:textAlignment w:val="auto"/>
        <w:rPr>
          <w:rFonts w:eastAsia="方正仿宋_GBK"/>
          <w:b/>
          <w:bCs/>
          <w:sz w:val="28"/>
          <w:szCs w:val="28"/>
        </w:rPr>
      </w:pPr>
      <w:r>
        <w:rPr>
          <w:rFonts w:eastAsia="方正仿宋_GBK"/>
          <w:b/>
          <w:bCs/>
          <w:sz w:val="28"/>
          <w:szCs w:val="28"/>
        </w:rPr>
        <w:t>19.预计用电需求</w:t>
      </w:r>
    </w:p>
    <w:p>
      <w:pPr>
        <w:keepNext w:val="0"/>
        <w:keepLines w:val="0"/>
        <w:pageBreakBefore w:val="0"/>
        <w:widowControl w:val="0"/>
        <w:kinsoku/>
        <w:wordWrap/>
        <w:overflowPunct/>
        <w:topLinePunct w:val="0"/>
        <w:autoSpaceDE/>
        <w:autoSpaceDN/>
        <w:bidi w:val="0"/>
        <w:adjustRightInd/>
        <w:snapToGrid/>
        <w:spacing w:line="500" w:lineRule="exact"/>
        <w:ind w:right="-176" w:rightChars="-84"/>
        <w:jc w:val="center"/>
        <w:textAlignment w:val="auto"/>
        <w:rPr>
          <w:rFonts w:eastAsia="方正楷体_GBK"/>
          <w:sz w:val="28"/>
          <w:szCs w:val="28"/>
        </w:rPr>
      </w:pPr>
      <w:r>
        <w:rPr>
          <w:rFonts w:eastAsia="方正楷体_GBK"/>
          <w:sz w:val="28"/>
          <w:szCs w:val="28"/>
        </w:rPr>
        <w:t>机电集团</w:t>
      </w:r>
      <w:r>
        <w:rPr>
          <w:rFonts w:hint="eastAsia" w:eastAsia="方正楷体_GBK"/>
          <w:sz w:val="28"/>
          <w:szCs w:val="28"/>
        </w:rPr>
        <w:t>及所属企业</w:t>
      </w:r>
      <w:r>
        <w:rPr>
          <w:rFonts w:eastAsia="方正楷体_GBK"/>
          <w:sz w:val="28"/>
          <w:szCs w:val="28"/>
        </w:rPr>
        <w:t>2023年全年用电信息</w:t>
      </w:r>
    </w:p>
    <w:tbl>
      <w:tblPr>
        <w:tblStyle w:val="8"/>
        <w:tblW w:w="8281" w:type="dxa"/>
        <w:tblInd w:w="0" w:type="dxa"/>
        <w:tblLayout w:type="fixed"/>
        <w:tblCellMar>
          <w:top w:w="0" w:type="dxa"/>
          <w:left w:w="0" w:type="dxa"/>
          <w:bottom w:w="0" w:type="dxa"/>
          <w:right w:w="0" w:type="dxa"/>
        </w:tblCellMar>
      </w:tblPr>
      <w:tblGrid>
        <w:gridCol w:w="818"/>
        <w:gridCol w:w="1675"/>
        <w:gridCol w:w="2013"/>
        <w:gridCol w:w="1862"/>
        <w:gridCol w:w="1913"/>
      </w:tblGrid>
      <w:tr>
        <w:tblPrEx>
          <w:tblCellMar>
            <w:top w:w="0" w:type="dxa"/>
            <w:left w:w="0" w:type="dxa"/>
            <w:bottom w:w="0" w:type="dxa"/>
            <w:right w:w="0" w:type="dxa"/>
          </w:tblCellMar>
        </w:tblPrEx>
        <w:trPr>
          <w:trHeight w:val="5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eastAsia="方正黑体_GBK"/>
                <w:szCs w:val="21"/>
              </w:rPr>
            </w:pPr>
            <w:r>
              <w:rPr>
                <w:rFonts w:eastAsia="方正黑体_GBK"/>
                <w:kern w:val="0"/>
                <w:szCs w:val="21"/>
                <w:lang w:bidi="ar"/>
              </w:rPr>
              <w:t>序号</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eastAsia="方正黑体_GBK"/>
                <w:szCs w:val="21"/>
              </w:rPr>
            </w:pPr>
            <w:r>
              <w:rPr>
                <w:rFonts w:eastAsia="方正黑体_GBK"/>
                <w:kern w:val="0"/>
                <w:szCs w:val="21"/>
                <w:lang w:bidi="ar"/>
              </w:rPr>
              <w:t>企业名称</w:t>
            </w:r>
          </w:p>
        </w:tc>
        <w:tc>
          <w:tcPr>
            <w:tcW w:w="2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eastAsia="方正黑体_GBK"/>
                <w:kern w:val="0"/>
                <w:szCs w:val="21"/>
                <w:lang w:bidi="ar"/>
              </w:rPr>
            </w:pPr>
            <w:r>
              <w:rPr>
                <w:rFonts w:eastAsia="方正黑体_GBK"/>
                <w:kern w:val="0"/>
                <w:szCs w:val="21"/>
                <w:lang w:bidi="ar"/>
              </w:rPr>
              <w:t>预计全年用电量</w:t>
            </w:r>
          </w:p>
          <w:p>
            <w:pPr>
              <w:widowControl/>
              <w:spacing w:line="340" w:lineRule="exact"/>
              <w:jc w:val="center"/>
              <w:textAlignment w:val="center"/>
              <w:rPr>
                <w:rFonts w:eastAsia="方正黑体_GBK"/>
                <w:szCs w:val="21"/>
              </w:rPr>
            </w:pPr>
            <w:r>
              <w:rPr>
                <w:rFonts w:eastAsia="方正黑体_GBK"/>
                <w:kern w:val="0"/>
                <w:szCs w:val="21"/>
                <w:lang w:bidi="ar"/>
              </w:rPr>
              <w:t xml:space="preserve"> （单位：万度）</w:t>
            </w:r>
          </w:p>
        </w:tc>
        <w:tc>
          <w:tcPr>
            <w:tcW w:w="1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eastAsia="方正黑体_GBK"/>
                <w:kern w:val="0"/>
                <w:szCs w:val="21"/>
                <w:lang w:bidi="ar"/>
              </w:rPr>
            </w:pPr>
            <w:r>
              <w:rPr>
                <w:rFonts w:eastAsia="方正黑体_GBK"/>
                <w:kern w:val="0"/>
                <w:szCs w:val="21"/>
                <w:lang w:bidi="ar"/>
              </w:rPr>
              <w:t>接入电压等级</w:t>
            </w:r>
          </w:p>
          <w:p>
            <w:pPr>
              <w:widowControl/>
              <w:spacing w:line="340" w:lineRule="exact"/>
              <w:jc w:val="center"/>
              <w:textAlignment w:val="center"/>
              <w:rPr>
                <w:rFonts w:eastAsia="方正黑体_GBK"/>
                <w:szCs w:val="21"/>
              </w:rPr>
            </w:pPr>
            <w:r>
              <w:rPr>
                <w:rFonts w:eastAsia="方正黑体_GBK"/>
                <w:kern w:val="0"/>
                <w:szCs w:val="21"/>
                <w:lang w:bidi="ar"/>
              </w:rPr>
              <w:t>（kV）</w:t>
            </w:r>
          </w:p>
        </w:tc>
        <w:tc>
          <w:tcPr>
            <w:tcW w:w="1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eastAsia="方正黑体_GBK"/>
                <w:kern w:val="0"/>
                <w:szCs w:val="21"/>
                <w:lang w:bidi="ar"/>
              </w:rPr>
            </w:pPr>
            <w:r>
              <w:rPr>
                <w:rFonts w:eastAsia="方正黑体_GBK"/>
                <w:kern w:val="0"/>
                <w:szCs w:val="21"/>
                <w:lang w:bidi="ar"/>
              </w:rPr>
              <w:t>报装容量</w:t>
            </w:r>
          </w:p>
          <w:p>
            <w:pPr>
              <w:widowControl/>
              <w:spacing w:line="340" w:lineRule="exact"/>
              <w:jc w:val="center"/>
              <w:textAlignment w:val="center"/>
              <w:rPr>
                <w:rFonts w:eastAsia="方正黑体_GBK"/>
                <w:szCs w:val="21"/>
              </w:rPr>
            </w:pPr>
            <w:r>
              <w:rPr>
                <w:rFonts w:eastAsia="方正黑体_GBK"/>
                <w:kern w:val="0"/>
                <w:szCs w:val="21"/>
                <w:lang w:bidi="ar"/>
              </w:rPr>
              <w:t>（kVA）</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kern w:val="0"/>
                <w:szCs w:val="21"/>
                <w:lang w:bidi="ar"/>
              </w:rPr>
              <w:t>1</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机电集团</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190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kern w:val="0"/>
                <w:szCs w:val="21"/>
                <w:lang w:bidi="ar"/>
              </w:rPr>
              <w:t>2</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重通集团</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220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4000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kern w:val="0"/>
                <w:szCs w:val="21"/>
                <w:lang w:bidi="ar"/>
              </w:rPr>
              <w:t>3</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鸽牌公司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1500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5000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kern w:val="0"/>
                <w:szCs w:val="21"/>
                <w:lang w:bidi="ar"/>
              </w:rPr>
              <w:t>4</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重泵公司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660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5150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kern w:val="0"/>
                <w:szCs w:val="21"/>
                <w:lang w:bidi="ar"/>
              </w:rPr>
              <w:t>5</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盟讯公司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1300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4010</w:t>
            </w:r>
          </w:p>
        </w:tc>
      </w:tr>
      <w:tr>
        <w:tblPrEx>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kern w:val="0"/>
                <w:szCs w:val="21"/>
                <w:lang w:bidi="ar"/>
              </w:rPr>
              <w:t>6</w:t>
            </w:r>
          </w:p>
        </w:tc>
        <w:tc>
          <w:tcPr>
            <w:tcW w:w="16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机床集团</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1900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19118</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800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7</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重水公司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35</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6300</w:t>
            </w:r>
          </w:p>
        </w:tc>
      </w:tr>
      <w:tr>
        <w:tblPrEx>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8</w:t>
            </w:r>
          </w:p>
        </w:tc>
        <w:tc>
          <w:tcPr>
            <w:tcW w:w="16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西计公司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560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6100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630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9</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建安公司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135</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1830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10</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长轴公司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5500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19300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11</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重标双福</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960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3500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12</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重标珞璜</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3050</w:t>
            </w:r>
          </w:p>
        </w:tc>
      </w:tr>
      <w:tr>
        <w:tblPrEx>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13</w:t>
            </w:r>
          </w:p>
        </w:tc>
        <w:tc>
          <w:tcPr>
            <w:tcW w:w="16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綦齿传动</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7630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1450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8230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750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9475</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20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4650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14</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资产公司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6030</w:t>
            </w:r>
          </w:p>
        </w:tc>
      </w:tr>
      <w:tr>
        <w:tblPrEx>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15</w:t>
            </w:r>
          </w:p>
        </w:tc>
        <w:tc>
          <w:tcPr>
            <w:tcW w:w="16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重庆ABB</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265</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7000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2700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10000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16</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重变电器</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200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2000</w:t>
            </w:r>
          </w:p>
        </w:tc>
      </w:tr>
      <w:tr>
        <w:tblPrEx>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17</w:t>
            </w:r>
          </w:p>
        </w:tc>
        <w:tc>
          <w:tcPr>
            <w:tcW w:w="16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上菲红</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655</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6000</w:t>
            </w:r>
          </w:p>
        </w:tc>
      </w:tr>
      <w:tr>
        <w:trPr>
          <w:trHeight w:val="340" w:hRule="atLeast"/>
        </w:trPr>
        <w:tc>
          <w:tcPr>
            <w:tcW w:w="81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570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4000</w:t>
            </w:r>
          </w:p>
        </w:tc>
      </w:tr>
      <w:tr>
        <w:tblPrEx>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18</w:t>
            </w:r>
          </w:p>
        </w:tc>
        <w:tc>
          <w:tcPr>
            <w:tcW w:w="16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上汽红岩</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1326</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9500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1746</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9630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108</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2030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1223</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18190</w:t>
            </w:r>
          </w:p>
        </w:tc>
      </w:tr>
      <w:tr>
        <w:tblPrEx>
          <w:tblCellMar>
            <w:top w:w="0" w:type="dxa"/>
            <w:left w:w="0" w:type="dxa"/>
            <w:bottom w:w="0" w:type="dxa"/>
            <w:right w:w="0" w:type="dxa"/>
          </w:tblCellMar>
        </w:tblPrEx>
        <w:trPr>
          <w:trHeight w:val="340" w:hRule="atLeast"/>
        </w:trPr>
        <w:tc>
          <w:tcPr>
            <w:tcW w:w="81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p>
        </w:tc>
        <w:tc>
          <w:tcPr>
            <w:tcW w:w="16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480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5000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19</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爱思帝</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960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5100</w:t>
            </w:r>
          </w:p>
        </w:tc>
      </w:tr>
      <w:tr>
        <w:tblPrEx>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kern w:val="0"/>
                <w:szCs w:val="21"/>
                <w:lang w:bidi="ar"/>
              </w:rPr>
            </w:pPr>
            <w:r>
              <w:rPr>
                <w:rFonts w:eastAsia="方正仿宋_GBK"/>
                <w:kern w:val="0"/>
                <w:szCs w:val="21"/>
                <w:lang w:bidi="ar"/>
              </w:rPr>
              <w:t>20</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红岩方大</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800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szCs w:val="21"/>
              </w:rPr>
            </w:pPr>
            <w:r>
              <w:rPr>
                <w:rFonts w:eastAsia="方正仿宋_GBK"/>
                <w:szCs w:val="21"/>
              </w:rPr>
              <w:t>9000</w:t>
            </w:r>
          </w:p>
        </w:tc>
      </w:tr>
      <w:tr>
        <w:tblPrEx>
          <w:tblCellMar>
            <w:top w:w="0" w:type="dxa"/>
            <w:left w:w="0" w:type="dxa"/>
            <w:bottom w:w="0" w:type="dxa"/>
            <w:right w:w="0" w:type="dxa"/>
          </w:tblCellMar>
        </w:tblPrEx>
        <w:trPr>
          <w:trHeight w:val="340" w:hRule="atLeast"/>
        </w:trPr>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b/>
                <w:bCs/>
                <w:szCs w:val="21"/>
              </w:rPr>
            </w:pPr>
            <w:r>
              <w:rPr>
                <w:rFonts w:eastAsia="方正仿宋_GBK"/>
                <w:b/>
                <w:bCs/>
                <w:szCs w:val="21"/>
              </w:rPr>
              <w:t>合计</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eastAsia="方正仿宋_GBK"/>
                <w:b/>
                <w:bCs/>
                <w:szCs w:val="21"/>
              </w:rPr>
            </w:pPr>
            <w:r>
              <w:rPr>
                <w:rFonts w:eastAsia="方正仿宋_GBK"/>
                <w:b/>
                <w:bCs/>
                <w:szCs w:val="21"/>
              </w:rPr>
              <w:t>29419</w:t>
            </w:r>
          </w:p>
        </w:tc>
        <w:tc>
          <w:tcPr>
            <w:tcW w:w="37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eastAsia="方正仿宋_GBK"/>
                <w:b/>
                <w:bCs/>
                <w:szCs w:val="21"/>
              </w:rPr>
            </w:pPr>
            <w:r>
              <w:rPr>
                <w:rFonts w:eastAsia="方正仿宋_GBK"/>
                <w:b/>
                <w:bCs/>
                <w:szCs w:val="21"/>
              </w:rPr>
              <w:t>其中：10kV电量28819万度</w:t>
            </w:r>
          </w:p>
          <w:p>
            <w:pPr>
              <w:widowControl/>
              <w:spacing w:line="340" w:lineRule="exact"/>
              <w:ind w:firstLine="632" w:firstLineChars="300"/>
              <w:jc w:val="left"/>
              <w:textAlignment w:val="center"/>
              <w:rPr>
                <w:rFonts w:eastAsia="方正仿宋_GBK"/>
                <w:b/>
                <w:bCs/>
                <w:szCs w:val="21"/>
              </w:rPr>
            </w:pPr>
            <w:r>
              <w:rPr>
                <w:rFonts w:eastAsia="方正仿宋_GBK"/>
                <w:b/>
                <w:bCs/>
                <w:szCs w:val="21"/>
              </w:rPr>
              <w:t>35kV电量600万度</w:t>
            </w:r>
          </w:p>
        </w:tc>
      </w:tr>
    </w:tbl>
    <w:p>
      <w:pPr>
        <w:spacing w:line="540" w:lineRule="exact"/>
        <w:ind w:right="-176" w:rightChars="-84" w:firstLine="570"/>
        <w:rPr>
          <w:rFonts w:hint="eastAsia" w:eastAsia="楷体"/>
          <w:sz w:val="28"/>
          <w:szCs w:val="28"/>
        </w:rPr>
      </w:pPr>
    </w:p>
    <w:p>
      <w:pPr>
        <w:spacing w:line="540" w:lineRule="exact"/>
        <w:ind w:right="-176" w:rightChars="-84"/>
        <w:jc w:val="center"/>
        <w:rPr>
          <w:rFonts w:eastAsia="方正小标宋_GBK"/>
          <w:bCs/>
          <w:sz w:val="28"/>
          <w:szCs w:val="28"/>
        </w:rPr>
      </w:pPr>
      <w:r>
        <w:rPr>
          <w:rFonts w:eastAsia="方正小标宋_GBK"/>
          <w:bCs/>
          <w:sz w:val="36"/>
          <w:szCs w:val="36"/>
        </w:rPr>
        <w:t>第二部分：评标办法（综合评估法）</w:t>
      </w:r>
    </w:p>
    <w:p>
      <w:pPr>
        <w:spacing w:before="312" w:beforeLines="100" w:line="540" w:lineRule="exact"/>
        <w:ind w:right="-176" w:rightChars="-84"/>
        <w:rPr>
          <w:rFonts w:eastAsia="方正楷体_GBK"/>
          <w:bCs/>
          <w:sz w:val="28"/>
          <w:szCs w:val="28"/>
        </w:rPr>
      </w:pPr>
      <w:r>
        <w:rPr>
          <w:rFonts w:eastAsia="方正楷体_GBK"/>
          <w:bCs/>
          <w:sz w:val="28"/>
          <w:szCs w:val="28"/>
        </w:rPr>
        <w:t>评标办法前附表</w:t>
      </w:r>
    </w:p>
    <w:tbl>
      <w:tblPr>
        <w:tblStyle w:val="8"/>
        <w:tblW w:w="82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13" w:type="dxa"/>
            <w:shd w:val="clear" w:color="auto" w:fill="auto"/>
            <w:vAlign w:val="center"/>
          </w:tcPr>
          <w:p>
            <w:pPr>
              <w:jc w:val="center"/>
              <w:rPr>
                <w:rFonts w:eastAsia="方正黑体_GBK"/>
                <w:szCs w:val="21"/>
              </w:rPr>
            </w:pPr>
            <w:r>
              <w:rPr>
                <w:rFonts w:eastAsia="方正黑体_GBK"/>
                <w:szCs w:val="21"/>
              </w:rPr>
              <w:t>条款内容</w:t>
            </w:r>
          </w:p>
        </w:tc>
        <w:tc>
          <w:tcPr>
            <w:tcW w:w="6824" w:type="dxa"/>
            <w:shd w:val="clear" w:color="auto" w:fill="auto"/>
            <w:vAlign w:val="center"/>
          </w:tcPr>
          <w:p>
            <w:pPr>
              <w:jc w:val="center"/>
              <w:rPr>
                <w:rFonts w:eastAsia="方正黑体_GBK"/>
                <w:szCs w:val="21"/>
              </w:rPr>
            </w:pPr>
            <w:r>
              <w:rPr>
                <w:rFonts w:eastAsia="方正黑体_GBK"/>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413" w:type="dxa"/>
            <w:shd w:val="clear" w:color="auto" w:fill="auto"/>
            <w:vAlign w:val="center"/>
          </w:tcPr>
          <w:p>
            <w:pPr>
              <w:jc w:val="center"/>
              <w:rPr>
                <w:rFonts w:eastAsia="方正仿宋_GBK"/>
                <w:szCs w:val="21"/>
              </w:rPr>
            </w:pPr>
            <w:r>
              <w:rPr>
                <w:rFonts w:hint="eastAsia" w:eastAsia="方正仿宋_GBK"/>
                <w:szCs w:val="21"/>
              </w:rPr>
              <w:t>价格</w:t>
            </w:r>
            <w:r>
              <w:rPr>
                <w:rFonts w:eastAsia="方正仿宋_GBK"/>
                <w:szCs w:val="21"/>
              </w:rPr>
              <w:t>得分               （60分）</w:t>
            </w:r>
          </w:p>
        </w:tc>
        <w:tc>
          <w:tcPr>
            <w:tcW w:w="6824" w:type="dxa"/>
            <w:shd w:val="clear" w:color="auto" w:fill="auto"/>
            <w:vAlign w:val="center"/>
          </w:tcPr>
          <w:p>
            <w:pPr>
              <w:rPr>
                <w:rFonts w:eastAsia="方正仿宋_GBK"/>
                <w:szCs w:val="21"/>
              </w:rPr>
            </w:pPr>
            <w:r>
              <w:rPr>
                <w:rFonts w:hint="eastAsia" w:eastAsia="方正仿宋_GBK"/>
                <w:b/>
                <w:bCs/>
                <w:szCs w:val="21"/>
              </w:rPr>
              <w:t>基准价：</w:t>
            </w:r>
            <w:r>
              <w:rPr>
                <w:rFonts w:hint="eastAsia" w:eastAsia="方正仿宋_GBK"/>
                <w:szCs w:val="21"/>
              </w:rPr>
              <w:t>尖时段最低投标报价为A，峰时段最低投标报价为B，平时段最低投标报价为C，谷时段最低投标报价为D。</w:t>
            </w:r>
          </w:p>
          <w:p>
            <w:pPr>
              <w:rPr>
                <w:rFonts w:eastAsia="方正仿宋_GBK"/>
                <w:szCs w:val="21"/>
              </w:rPr>
            </w:pPr>
            <w:r>
              <w:rPr>
                <w:rFonts w:hint="eastAsia" w:eastAsia="方正仿宋_GBK"/>
                <w:szCs w:val="21"/>
              </w:rPr>
              <w:t>基准价=A*0.1+B*0.3+C*0.4+D*0.2。</w:t>
            </w:r>
          </w:p>
          <w:p>
            <w:pPr>
              <w:rPr>
                <w:rFonts w:eastAsia="方正仿宋_GBK"/>
                <w:szCs w:val="21"/>
              </w:rPr>
            </w:pPr>
            <w:r>
              <w:rPr>
                <w:rFonts w:hint="eastAsia" w:eastAsia="方正仿宋_GBK"/>
                <w:b/>
                <w:bCs/>
                <w:szCs w:val="21"/>
              </w:rPr>
              <w:t>价格得分：</w:t>
            </w:r>
            <w:r>
              <w:rPr>
                <w:rFonts w:hint="eastAsia" w:eastAsia="方正仿宋_GBK"/>
                <w:szCs w:val="21"/>
              </w:rPr>
              <w:t>综合投标报价=尖时段报价*0.1+峰时段报价*0.3+平时段报价*0.4+谷时段报价*0.2，每高于基准价0.1厘扣1分。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13" w:type="dxa"/>
            <w:shd w:val="clear" w:color="auto" w:fill="auto"/>
            <w:vAlign w:val="center"/>
          </w:tcPr>
          <w:p>
            <w:pPr>
              <w:jc w:val="center"/>
              <w:rPr>
                <w:rFonts w:eastAsia="方正仿宋_GBK"/>
                <w:szCs w:val="21"/>
              </w:rPr>
            </w:pPr>
            <w:r>
              <w:rPr>
                <w:rFonts w:eastAsia="方正仿宋_GBK"/>
                <w:szCs w:val="21"/>
              </w:rPr>
              <w:t>商务得分            （40分）</w:t>
            </w:r>
          </w:p>
        </w:tc>
        <w:tc>
          <w:tcPr>
            <w:tcW w:w="6824" w:type="dxa"/>
            <w:shd w:val="clear" w:color="auto" w:fill="auto"/>
            <w:vAlign w:val="center"/>
          </w:tcPr>
          <w:p>
            <w:pPr>
              <w:rPr>
                <w:rFonts w:eastAsia="方正仿宋_GBK"/>
                <w:szCs w:val="21"/>
              </w:rPr>
            </w:pPr>
            <w:r>
              <w:rPr>
                <w:rFonts w:eastAsia="方正仿宋_GBK"/>
                <w:szCs w:val="21"/>
              </w:rPr>
              <w:t>安全供电及服务保障</w:t>
            </w:r>
            <w:bookmarkStart w:id="77" w:name="_GoBack"/>
            <w:bookmarkEnd w:id="77"/>
            <w:r>
              <w:rPr>
                <w:rFonts w:eastAsia="方正仿宋_GBK"/>
                <w:szCs w:val="21"/>
              </w:rPr>
              <w:t>能力承诺文件（10分）、</w:t>
            </w:r>
            <w:r>
              <w:rPr>
                <w:rFonts w:hint="eastAsia" w:eastAsia="方正仿宋_GBK"/>
                <w:szCs w:val="21"/>
                <w:lang w:val="en-US" w:eastAsia="zh-CN"/>
              </w:rPr>
              <w:t>近5年业绩</w:t>
            </w:r>
            <w:r>
              <w:rPr>
                <w:rFonts w:eastAsia="方正仿宋_GBK"/>
                <w:szCs w:val="21"/>
              </w:rPr>
              <w:t>情况（10分）、增值服务能力及成功案例展示（20分）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13" w:type="dxa"/>
            <w:shd w:val="clear" w:color="auto" w:fill="auto"/>
            <w:vAlign w:val="center"/>
          </w:tcPr>
          <w:p>
            <w:pPr>
              <w:jc w:val="center"/>
              <w:rPr>
                <w:rFonts w:eastAsia="方正仿宋_GBK"/>
                <w:szCs w:val="21"/>
              </w:rPr>
            </w:pPr>
            <w:r>
              <w:rPr>
                <w:rFonts w:eastAsia="方正仿宋_GBK"/>
                <w:szCs w:val="21"/>
              </w:rPr>
              <w:t>总得分             （100分）</w:t>
            </w:r>
          </w:p>
        </w:tc>
        <w:tc>
          <w:tcPr>
            <w:tcW w:w="6824" w:type="dxa"/>
            <w:shd w:val="clear" w:color="auto" w:fill="auto"/>
            <w:vAlign w:val="center"/>
          </w:tcPr>
          <w:p>
            <w:pPr>
              <w:rPr>
                <w:rFonts w:eastAsia="方正仿宋_GBK"/>
                <w:szCs w:val="21"/>
              </w:rPr>
            </w:pPr>
            <w:r>
              <w:rPr>
                <w:rFonts w:eastAsia="方正仿宋_GBK"/>
                <w:szCs w:val="21"/>
              </w:rPr>
              <w:t>总得分（100分）=投标报价得分（60分）+商务得分（40分）</w:t>
            </w:r>
          </w:p>
        </w:tc>
      </w:tr>
    </w:tbl>
    <w:p>
      <w:pPr>
        <w:spacing w:line="500" w:lineRule="exact"/>
        <w:ind w:firstLine="560" w:firstLineChars="200"/>
        <w:rPr>
          <w:rFonts w:eastAsia="方正黑体_GBK"/>
          <w:sz w:val="28"/>
          <w:szCs w:val="28"/>
        </w:rPr>
      </w:pPr>
      <w:r>
        <w:rPr>
          <w:rFonts w:eastAsia="方正黑体_GBK"/>
          <w:sz w:val="28"/>
          <w:szCs w:val="28"/>
        </w:rPr>
        <w:t>一、评标原则：</w:t>
      </w:r>
    </w:p>
    <w:p>
      <w:pPr>
        <w:spacing w:line="500" w:lineRule="exact"/>
        <w:ind w:left="570"/>
        <w:rPr>
          <w:rFonts w:eastAsia="方正仿宋_GBK"/>
          <w:sz w:val="28"/>
          <w:szCs w:val="28"/>
        </w:rPr>
      </w:pPr>
      <w:r>
        <w:rPr>
          <w:rFonts w:eastAsia="方正仿宋_GBK"/>
          <w:sz w:val="28"/>
          <w:szCs w:val="28"/>
        </w:rPr>
        <w:t>1.1招标人根据招标项目特点依法组建评标委员会，与投标人有</w:t>
      </w:r>
    </w:p>
    <w:p>
      <w:pPr>
        <w:spacing w:line="500" w:lineRule="exact"/>
        <w:rPr>
          <w:rFonts w:eastAsia="方正仿宋_GBK"/>
          <w:sz w:val="28"/>
          <w:szCs w:val="28"/>
        </w:rPr>
      </w:pPr>
      <w:r>
        <w:rPr>
          <w:rFonts w:eastAsia="方正仿宋_GBK"/>
          <w:sz w:val="28"/>
          <w:szCs w:val="28"/>
        </w:rPr>
        <w:t>关联的人员不得进入相关项目的评标委员会。</w:t>
      </w:r>
    </w:p>
    <w:p>
      <w:pPr>
        <w:spacing w:line="500" w:lineRule="exact"/>
        <w:ind w:firstLine="570"/>
        <w:rPr>
          <w:rFonts w:eastAsia="方正仿宋_GBK"/>
          <w:sz w:val="28"/>
          <w:szCs w:val="28"/>
        </w:rPr>
      </w:pPr>
      <w:r>
        <w:rPr>
          <w:rFonts w:eastAsia="方正仿宋_GBK"/>
          <w:sz w:val="28"/>
          <w:szCs w:val="28"/>
        </w:rPr>
        <w:t>1.2我司保证评标在严格保密的情况下进行，并遵循公开、公平、公正和诚实信用的原则。</w:t>
      </w:r>
    </w:p>
    <w:p>
      <w:pPr>
        <w:spacing w:line="500" w:lineRule="exact"/>
        <w:ind w:firstLine="570"/>
        <w:rPr>
          <w:rFonts w:eastAsia="方正仿宋_GBK"/>
          <w:sz w:val="28"/>
          <w:szCs w:val="28"/>
        </w:rPr>
      </w:pPr>
      <w:r>
        <w:rPr>
          <w:rFonts w:eastAsia="方正仿宋_GBK"/>
          <w:sz w:val="28"/>
          <w:szCs w:val="28"/>
        </w:rPr>
        <w:t>1.3评标委员会可以要求投标人对投标文件中含义不明确的内容在开、评标时作必要的澄清或者说明，但澄清或者说明不得超出投标文件的范围或者改变投标文件的实质性内容。</w:t>
      </w:r>
    </w:p>
    <w:p>
      <w:pPr>
        <w:spacing w:line="500" w:lineRule="exact"/>
        <w:ind w:firstLine="570"/>
        <w:rPr>
          <w:rFonts w:eastAsia="方正仿宋_GBK"/>
          <w:sz w:val="28"/>
          <w:szCs w:val="28"/>
        </w:rPr>
      </w:pPr>
      <w:r>
        <w:rPr>
          <w:rFonts w:eastAsia="方正仿宋_GBK"/>
          <w:sz w:val="28"/>
          <w:szCs w:val="28"/>
        </w:rPr>
        <w:t>1.4评标委员会严格按照招标文件的要求和条件进行评标。</w:t>
      </w:r>
    </w:p>
    <w:p>
      <w:pPr>
        <w:spacing w:line="500" w:lineRule="exact"/>
        <w:ind w:firstLine="570"/>
        <w:rPr>
          <w:rFonts w:eastAsia="方正仿宋_GBK"/>
          <w:sz w:val="28"/>
          <w:szCs w:val="28"/>
        </w:rPr>
      </w:pPr>
      <w:r>
        <w:rPr>
          <w:rFonts w:eastAsia="方正仿宋_GBK"/>
          <w:sz w:val="28"/>
          <w:szCs w:val="28"/>
        </w:rPr>
        <w:t>1.5在确定中标人前，招标人不得与投标人就价格、投标方案等实质性内容进行谈判。</w:t>
      </w:r>
    </w:p>
    <w:p>
      <w:pPr>
        <w:spacing w:line="500" w:lineRule="exact"/>
        <w:ind w:firstLine="560" w:firstLineChars="200"/>
        <w:rPr>
          <w:rFonts w:eastAsia="方正黑体_GBK"/>
          <w:sz w:val="28"/>
          <w:szCs w:val="28"/>
        </w:rPr>
      </w:pPr>
      <w:r>
        <w:rPr>
          <w:rFonts w:eastAsia="方正黑体_GBK"/>
          <w:sz w:val="28"/>
          <w:szCs w:val="28"/>
        </w:rPr>
        <w:t>二、评标方法</w:t>
      </w:r>
    </w:p>
    <w:p>
      <w:pPr>
        <w:spacing w:line="500" w:lineRule="exact"/>
        <w:ind w:right="-176" w:rightChars="-84" w:firstLine="560" w:firstLineChars="200"/>
        <w:rPr>
          <w:rFonts w:eastAsia="方正仿宋_GBK"/>
          <w:bCs/>
          <w:sz w:val="28"/>
          <w:szCs w:val="28"/>
        </w:rPr>
      </w:pPr>
      <w:r>
        <w:rPr>
          <w:rFonts w:eastAsia="方正仿宋_GBK"/>
          <w:bCs/>
          <w:sz w:val="28"/>
          <w:szCs w:val="28"/>
        </w:rPr>
        <w:t>2.1本项目采用综合评估法：按总分由高至低排序，具体计算公式见《评标办法前附表》。</w:t>
      </w:r>
    </w:p>
    <w:p>
      <w:pPr>
        <w:spacing w:line="500" w:lineRule="exact"/>
        <w:ind w:right="-176" w:rightChars="-84" w:firstLine="560" w:firstLineChars="200"/>
        <w:rPr>
          <w:rFonts w:eastAsia="方正仿宋_GBK"/>
          <w:bCs/>
          <w:sz w:val="28"/>
          <w:szCs w:val="28"/>
        </w:rPr>
      </w:pPr>
      <w:r>
        <w:rPr>
          <w:rFonts w:eastAsia="方正仿宋_GBK"/>
          <w:bCs/>
          <w:sz w:val="28"/>
          <w:szCs w:val="28"/>
        </w:rPr>
        <w:t>2.2招标人对投标文件的判定，仅依据投标文件内容本身，不依据开标后的任何外来证明。</w:t>
      </w:r>
    </w:p>
    <w:p>
      <w:pPr>
        <w:spacing w:line="500" w:lineRule="exact"/>
        <w:ind w:firstLine="560" w:firstLineChars="200"/>
        <w:rPr>
          <w:rFonts w:eastAsia="方正黑体_GBK"/>
          <w:sz w:val="28"/>
          <w:szCs w:val="28"/>
        </w:rPr>
      </w:pPr>
      <w:r>
        <w:rPr>
          <w:rFonts w:eastAsia="方正黑体_GBK"/>
          <w:sz w:val="28"/>
          <w:szCs w:val="28"/>
        </w:rPr>
        <w:t>三、评审标准</w:t>
      </w:r>
    </w:p>
    <w:p>
      <w:pPr>
        <w:spacing w:line="500" w:lineRule="exact"/>
        <w:ind w:right="-176" w:rightChars="-84" w:firstLine="560" w:firstLineChars="200"/>
        <w:rPr>
          <w:rFonts w:eastAsia="方正仿宋_GBK"/>
          <w:bCs/>
          <w:sz w:val="28"/>
          <w:szCs w:val="28"/>
        </w:rPr>
      </w:pPr>
      <w:r>
        <w:rPr>
          <w:rFonts w:eastAsia="方正仿宋_GBK"/>
          <w:bCs/>
          <w:sz w:val="28"/>
          <w:szCs w:val="28"/>
        </w:rPr>
        <w:t>投标文件及投标报价的评审，若出现下列情况之一，则投标文件作废标处理：</w:t>
      </w:r>
    </w:p>
    <w:p>
      <w:pPr>
        <w:spacing w:line="500" w:lineRule="exact"/>
        <w:ind w:right="-176" w:rightChars="-84" w:firstLine="560" w:firstLineChars="200"/>
        <w:rPr>
          <w:rFonts w:eastAsia="方正仿宋_GBK"/>
          <w:bCs/>
          <w:sz w:val="28"/>
          <w:szCs w:val="28"/>
        </w:rPr>
      </w:pPr>
      <w:r>
        <w:rPr>
          <w:rFonts w:eastAsia="方正仿宋_GBK"/>
          <w:bCs/>
          <w:sz w:val="28"/>
          <w:szCs w:val="28"/>
        </w:rPr>
        <w:t>3.1投标文件未满足投标须知第</w:t>
      </w:r>
      <w:r>
        <w:rPr>
          <w:rFonts w:hint="eastAsia" w:eastAsia="方正仿宋_GBK"/>
          <w:bCs/>
          <w:sz w:val="28"/>
          <w:szCs w:val="28"/>
          <w:lang w:val="en-US" w:eastAsia="zh-CN"/>
        </w:rPr>
        <w:t>19</w:t>
      </w:r>
      <w:r>
        <w:rPr>
          <w:rFonts w:eastAsia="方正仿宋_GBK"/>
          <w:bCs/>
          <w:sz w:val="28"/>
          <w:szCs w:val="28"/>
        </w:rPr>
        <w:t>项的内容和填报要求的；</w:t>
      </w:r>
    </w:p>
    <w:p>
      <w:pPr>
        <w:spacing w:line="500" w:lineRule="exact"/>
        <w:ind w:right="-176" w:rightChars="-84" w:firstLine="560" w:firstLineChars="200"/>
        <w:rPr>
          <w:rFonts w:eastAsia="方正仿宋_GBK"/>
          <w:bCs/>
          <w:sz w:val="28"/>
          <w:szCs w:val="28"/>
        </w:rPr>
      </w:pPr>
      <w:r>
        <w:rPr>
          <w:rFonts w:eastAsia="方正仿宋_GBK"/>
          <w:bCs/>
          <w:sz w:val="28"/>
          <w:szCs w:val="28"/>
        </w:rPr>
        <w:t>3.2投标人有符合投标须知第</w:t>
      </w:r>
      <w:r>
        <w:rPr>
          <w:rFonts w:hint="eastAsia" w:eastAsia="方正仿宋_GBK"/>
          <w:bCs/>
          <w:sz w:val="28"/>
          <w:szCs w:val="28"/>
          <w:lang w:val="en-US" w:eastAsia="zh-CN"/>
        </w:rPr>
        <w:t>21</w:t>
      </w:r>
      <w:r>
        <w:rPr>
          <w:rFonts w:eastAsia="方正仿宋_GBK"/>
          <w:bCs/>
          <w:sz w:val="28"/>
          <w:szCs w:val="28"/>
        </w:rPr>
        <w:t>项规定的；</w:t>
      </w:r>
    </w:p>
    <w:p>
      <w:pPr>
        <w:spacing w:line="500" w:lineRule="exact"/>
        <w:ind w:right="-176" w:rightChars="-84" w:firstLine="560" w:firstLineChars="200"/>
        <w:rPr>
          <w:rFonts w:eastAsia="方正仿宋_GBK"/>
          <w:bCs/>
          <w:sz w:val="28"/>
          <w:szCs w:val="28"/>
        </w:rPr>
      </w:pPr>
      <w:r>
        <w:rPr>
          <w:rFonts w:eastAsia="方正仿宋_GBK"/>
          <w:bCs/>
          <w:sz w:val="28"/>
          <w:szCs w:val="28"/>
        </w:rPr>
        <w:t>3.3公司法人（负责人）为同一人或者存在控股、管理关系的不同公司，同时参加本项目投标活动</w:t>
      </w:r>
      <w:r>
        <w:rPr>
          <w:rFonts w:hint="eastAsia" w:eastAsia="方正仿宋_GBK"/>
          <w:bCs/>
          <w:sz w:val="28"/>
          <w:szCs w:val="28"/>
        </w:rPr>
        <w:t>的；</w:t>
      </w:r>
    </w:p>
    <w:p>
      <w:pPr>
        <w:spacing w:line="500" w:lineRule="exact"/>
        <w:ind w:right="-176" w:rightChars="-84" w:firstLine="560" w:firstLineChars="200"/>
        <w:rPr>
          <w:rFonts w:eastAsia="方正仿宋_GBK"/>
          <w:bCs/>
          <w:sz w:val="28"/>
          <w:szCs w:val="28"/>
        </w:rPr>
      </w:pPr>
      <w:r>
        <w:rPr>
          <w:rFonts w:hint="eastAsia" w:eastAsia="方正仿宋_GBK"/>
          <w:bCs/>
          <w:sz w:val="28"/>
          <w:szCs w:val="28"/>
        </w:rPr>
        <w:t xml:space="preserve">3.4 </w:t>
      </w:r>
      <w:r>
        <w:rPr>
          <w:rFonts w:eastAsia="方正仿宋_GBK"/>
          <w:bCs/>
          <w:sz w:val="28"/>
          <w:szCs w:val="28"/>
        </w:rPr>
        <w:t>投标人的投标报价明显偏离市场价格，经评标委员会认定为恶意竞标的。</w:t>
      </w:r>
    </w:p>
    <w:p>
      <w:pPr>
        <w:spacing w:line="500" w:lineRule="exact"/>
        <w:ind w:firstLine="560" w:firstLineChars="200"/>
        <w:rPr>
          <w:rFonts w:eastAsia="方正黑体_GBK"/>
          <w:sz w:val="28"/>
          <w:szCs w:val="28"/>
        </w:rPr>
      </w:pPr>
      <w:r>
        <w:rPr>
          <w:rFonts w:eastAsia="方正黑体_GBK"/>
          <w:sz w:val="28"/>
          <w:szCs w:val="28"/>
        </w:rPr>
        <w:t>四、中标结果发布</w:t>
      </w:r>
    </w:p>
    <w:p>
      <w:pPr>
        <w:spacing w:line="500" w:lineRule="exact"/>
        <w:ind w:firstLine="570"/>
        <w:rPr>
          <w:rFonts w:eastAsia="方正仿宋_GBK"/>
          <w:sz w:val="28"/>
          <w:szCs w:val="28"/>
        </w:rPr>
      </w:pPr>
      <w:r>
        <w:rPr>
          <w:rFonts w:eastAsia="方正仿宋_GBK"/>
          <w:sz w:val="28"/>
          <w:szCs w:val="28"/>
        </w:rPr>
        <w:t>4.</w:t>
      </w:r>
      <w:r>
        <w:rPr>
          <w:rFonts w:hint="eastAsia" w:eastAsia="方正仿宋_GBK"/>
          <w:sz w:val="28"/>
          <w:szCs w:val="28"/>
        </w:rPr>
        <w:t>1</w:t>
      </w:r>
      <w:r>
        <w:rPr>
          <w:rFonts w:eastAsia="方正仿宋_GBK"/>
          <w:sz w:val="28"/>
          <w:szCs w:val="28"/>
        </w:rPr>
        <w:t>中标人确定后，由</w:t>
      </w:r>
      <w:r>
        <w:rPr>
          <w:rFonts w:eastAsia="方正仿宋_GBK"/>
          <w:bCs/>
          <w:sz w:val="28"/>
          <w:szCs w:val="28"/>
        </w:rPr>
        <w:t>招标人</w:t>
      </w:r>
      <w:r>
        <w:rPr>
          <w:rFonts w:eastAsia="方正仿宋_GBK"/>
          <w:sz w:val="28"/>
          <w:szCs w:val="28"/>
        </w:rPr>
        <w:t>向中标人发出书面中标通知书。</w:t>
      </w:r>
    </w:p>
    <w:p>
      <w:pPr>
        <w:spacing w:line="500" w:lineRule="exact"/>
        <w:ind w:firstLine="570"/>
        <w:rPr>
          <w:rFonts w:eastAsia="方正仿宋_GBK"/>
          <w:sz w:val="28"/>
          <w:szCs w:val="28"/>
        </w:rPr>
      </w:pPr>
      <w:r>
        <w:rPr>
          <w:rFonts w:eastAsia="方正仿宋_GBK"/>
          <w:sz w:val="28"/>
          <w:szCs w:val="28"/>
        </w:rPr>
        <w:t>4.</w:t>
      </w:r>
      <w:r>
        <w:rPr>
          <w:rFonts w:hint="eastAsia" w:eastAsia="方正仿宋_GBK"/>
          <w:sz w:val="28"/>
          <w:szCs w:val="28"/>
        </w:rPr>
        <w:t>2</w:t>
      </w:r>
      <w:r>
        <w:rPr>
          <w:rFonts w:eastAsia="方正仿宋_GBK"/>
          <w:bCs/>
          <w:sz w:val="28"/>
          <w:szCs w:val="28"/>
        </w:rPr>
        <w:t>招标人</w:t>
      </w:r>
      <w:r>
        <w:rPr>
          <w:rFonts w:eastAsia="方正仿宋_GBK"/>
          <w:sz w:val="28"/>
          <w:szCs w:val="28"/>
        </w:rPr>
        <w:t>负责向重庆机电集团有关单位通报招标结果。</w:t>
      </w:r>
    </w:p>
    <w:p>
      <w:pPr>
        <w:spacing w:line="500" w:lineRule="exact"/>
        <w:ind w:firstLine="570"/>
        <w:rPr>
          <w:rFonts w:eastAsia="方正仿宋_GBK"/>
          <w:sz w:val="28"/>
          <w:szCs w:val="28"/>
        </w:rPr>
      </w:pPr>
      <w:r>
        <w:rPr>
          <w:rFonts w:eastAsia="方正仿宋_GBK"/>
          <w:sz w:val="28"/>
          <w:szCs w:val="28"/>
        </w:rPr>
        <w:t>4.</w:t>
      </w:r>
      <w:r>
        <w:rPr>
          <w:rFonts w:hint="eastAsia" w:eastAsia="方正仿宋_GBK"/>
          <w:sz w:val="28"/>
          <w:szCs w:val="28"/>
        </w:rPr>
        <w:t>3</w:t>
      </w:r>
      <w:r>
        <w:rPr>
          <w:rFonts w:eastAsia="方正仿宋_GBK"/>
          <w:sz w:val="28"/>
          <w:szCs w:val="28"/>
        </w:rPr>
        <w:t>中标通知书发出后，中标人放弃中标项目的，招标人依法保留向违约方追究法律责任的权力。</w:t>
      </w:r>
    </w:p>
    <w:p>
      <w:pPr>
        <w:spacing w:line="500" w:lineRule="exact"/>
        <w:ind w:firstLine="560" w:firstLineChars="200"/>
        <w:rPr>
          <w:rFonts w:eastAsia="方正黑体_GBK"/>
          <w:sz w:val="28"/>
          <w:szCs w:val="28"/>
        </w:rPr>
      </w:pPr>
      <w:r>
        <w:rPr>
          <w:rFonts w:eastAsia="方正黑体_GBK"/>
          <w:sz w:val="28"/>
          <w:szCs w:val="28"/>
        </w:rPr>
        <w:t>五、执行要求</w:t>
      </w:r>
    </w:p>
    <w:p>
      <w:pPr>
        <w:spacing w:line="500" w:lineRule="exact"/>
        <w:ind w:firstLine="570"/>
        <w:rPr>
          <w:rFonts w:eastAsia="方正仿宋_GBK"/>
          <w:sz w:val="28"/>
          <w:szCs w:val="28"/>
        </w:rPr>
      </w:pPr>
      <w:r>
        <w:rPr>
          <w:rFonts w:hint="eastAsia" w:eastAsia="方正仿宋_GBK"/>
          <w:sz w:val="28"/>
          <w:szCs w:val="28"/>
        </w:rPr>
        <w:t>5</w:t>
      </w:r>
      <w:r>
        <w:rPr>
          <w:rFonts w:eastAsia="方正仿宋_GBK"/>
          <w:sz w:val="28"/>
          <w:szCs w:val="28"/>
        </w:rPr>
        <w:t>.1中标人在履约过程中执行</w:t>
      </w:r>
      <w:r>
        <w:rPr>
          <w:rFonts w:hint="eastAsia" w:eastAsia="方正仿宋_GBK"/>
          <w:sz w:val="28"/>
          <w:szCs w:val="28"/>
        </w:rPr>
        <w:t>投标人投标文件的价格，除</w:t>
      </w:r>
      <w:r>
        <w:rPr>
          <w:rFonts w:eastAsia="方正仿宋_GBK"/>
          <w:bCs/>
          <w:sz w:val="28"/>
          <w:szCs w:val="28"/>
        </w:rPr>
        <w:t>遇政府政策文件调整</w:t>
      </w:r>
      <w:r>
        <w:rPr>
          <w:rFonts w:hint="eastAsia" w:eastAsia="方正仿宋_GBK"/>
          <w:bCs/>
          <w:sz w:val="28"/>
          <w:szCs w:val="28"/>
        </w:rPr>
        <w:t>外</w:t>
      </w:r>
      <w:r>
        <w:rPr>
          <w:rFonts w:eastAsia="方正仿宋_GBK"/>
          <w:bCs/>
          <w:sz w:val="28"/>
          <w:szCs w:val="28"/>
        </w:rPr>
        <w:t>，</w:t>
      </w:r>
      <w:r>
        <w:rPr>
          <w:rFonts w:hint="eastAsia" w:eastAsia="方正仿宋_GBK"/>
          <w:bCs/>
          <w:sz w:val="28"/>
          <w:szCs w:val="28"/>
        </w:rPr>
        <w:t>不得以其他任何理由调高执行价格。</w:t>
      </w:r>
    </w:p>
    <w:p>
      <w:pPr>
        <w:spacing w:line="500" w:lineRule="exact"/>
        <w:ind w:firstLine="570"/>
        <w:rPr>
          <w:rFonts w:eastAsia="方正仿宋_GBK"/>
          <w:sz w:val="28"/>
          <w:szCs w:val="28"/>
        </w:rPr>
      </w:pPr>
      <w:r>
        <w:rPr>
          <w:rFonts w:eastAsia="方正仿宋_GBK"/>
          <w:sz w:val="28"/>
          <w:szCs w:val="28"/>
        </w:rPr>
        <w:t>5.1由</w:t>
      </w:r>
      <w:r>
        <w:rPr>
          <w:rFonts w:eastAsia="方正仿宋_GBK"/>
          <w:bCs/>
          <w:sz w:val="28"/>
          <w:szCs w:val="28"/>
        </w:rPr>
        <w:t>重庆机电集团及所属企业</w:t>
      </w:r>
      <w:r>
        <w:rPr>
          <w:rFonts w:eastAsia="方正仿宋_GBK"/>
          <w:sz w:val="28"/>
          <w:szCs w:val="28"/>
        </w:rPr>
        <w:t>与中标人签订书面供电协议并执行。</w:t>
      </w:r>
    </w:p>
    <w:p>
      <w:pPr>
        <w:spacing w:line="500" w:lineRule="exact"/>
        <w:ind w:firstLine="560" w:firstLineChars="200"/>
        <w:rPr>
          <w:rFonts w:eastAsia="方正仿宋_GBK"/>
          <w:sz w:val="28"/>
          <w:szCs w:val="28"/>
        </w:rPr>
      </w:pPr>
      <w:r>
        <w:rPr>
          <w:rFonts w:eastAsia="方正仿宋_GBK"/>
          <w:sz w:val="28"/>
          <w:szCs w:val="28"/>
        </w:rPr>
        <w:t>5.2</w:t>
      </w:r>
      <w:r>
        <w:rPr>
          <w:rFonts w:eastAsia="方正仿宋_GBK"/>
          <w:bCs/>
          <w:sz w:val="28"/>
          <w:szCs w:val="28"/>
        </w:rPr>
        <w:t>招标人</w:t>
      </w:r>
      <w:r>
        <w:rPr>
          <w:rFonts w:eastAsia="方正仿宋_GBK"/>
          <w:sz w:val="28"/>
          <w:szCs w:val="28"/>
        </w:rPr>
        <w:t>与标的需求企业共同负责对中标人进行业绩评价。对1次业绩评价不合格的中标人亮黄牌警告，要求限期整改；对连续2次业绩评价不合格的中标人亮红牌警告，要求限期整改，并处罚金；对连续3次业绩评价不合格的中标人取消当年供电合同。</w:t>
      </w:r>
    </w:p>
    <w:p>
      <w:pPr>
        <w:spacing w:line="500" w:lineRule="exact"/>
        <w:ind w:firstLine="560" w:firstLineChars="200"/>
        <w:rPr>
          <w:rFonts w:eastAsia="方正黑体_GBK"/>
          <w:sz w:val="28"/>
          <w:szCs w:val="28"/>
        </w:rPr>
      </w:pPr>
      <w:r>
        <w:rPr>
          <w:rFonts w:eastAsia="方正黑体_GBK"/>
          <w:sz w:val="28"/>
          <w:szCs w:val="28"/>
        </w:rPr>
        <w:t>六、监督检查</w:t>
      </w:r>
    </w:p>
    <w:p>
      <w:pPr>
        <w:spacing w:line="500" w:lineRule="exact"/>
        <w:ind w:firstLine="570"/>
        <w:rPr>
          <w:rFonts w:hint="eastAsia" w:eastAsia="方正仿宋_GBK"/>
          <w:b/>
          <w:sz w:val="28"/>
          <w:szCs w:val="28"/>
        </w:rPr>
      </w:pPr>
      <w:r>
        <w:rPr>
          <w:rFonts w:eastAsia="方正仿宋_GBK"/>
          <w:sz w:val="28"/>
          <w:szCs w:val="28"/>
        </w:rPr>
        <w:t>6.1为强化招投标活动公开、公平、公正及诚实信用原则，有效防范经营风险和道德风险，重庆机电集团特设置反舞弊举报电话：</w:t>
      </w:r>
      <w:r>
        <w:rPr>
          <w:rFonts w:eastAsia="方正仿宋_GBK"/>
          <w:b/>
          <w:sz w:val="28"/>
          <w:szCs w:val="28"/>
        </w:rPr>
        <w:t>023-63075699。</w:t>
      </w:r>
    </w:p>
    <w:p>
      <w:pPr>
        <w:pStyle w:val="2"/>
        <w:spacing w:line="580" w:lineRule="exact"/>
        <w:jc w:val="center"/>
        <w:rPr>
          <w:rFonts w:hint="eastAsia" w:ascii="方正小标宋_GBK" w:hAnsi="方正小标宋_GBK" w:eastAsia="方正小标宋_GBK" w:cs="方正小标宋_GBK"/>
          <w:b w:val="0"/>
          <w:bCs w:val="0"/>
          <w:sz w:val="36"/>
          <w:szCs w:val="36"/>
        </w:rPr>
      </w:pPr>
    </w:p>
    <w:p>
      <w:pPr>
        <w:pStyle w:val="2"/>
        <w:spacing w:line="580" w:lineRule="exact"/>
        <w:jc w:val="center"/>
        <w:rPr>
          <w:rFonts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第三部分：主要合同条款</w:t>
      </w:r>
    </w:p>
    <w:p>
      <w:pPr>
        <w:spacing w:before="312" w:beforeLines="100"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重庆市电力用户与发电企业电力直接交易协议书</w:t>
      </w:r>
    </w:p>
    <w:p>
      <w:pPr>
        <w:adjustRightInd w:val="0"/>
        <w:snapToGrid w:val="0"/>
        <w:spacing w:line="500" w:lineRule="exact"/>
        <w:jc w:val="center"/>
        <w:rPr>
          <w:rFonts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（参考格式，最终版本以电力公司合同范本为准）</w:t>
      </w:r>
    </w:p>
    <w:p>
      <w:pPr>
        <w:adjustRightInd w:val="0"/>
        <w:snapToGrid w:val="0"/>
        <w:spacing w:line="500" w:lineRule="exact"/>
        <w:ind w:firstLine="562" w:firstLineChars="200"/>
        <w:rPr>
          <w:rFonts w:eastAsia="方正仿宋_GBK"/>
          <w:b/>
          <w:bCs/>
          <w:sz w:val="28"/>
          <w:szCs w:val="28"/>
        </w:rPr>
      </w:pPr>
    </w:p>
    <w:p>
      <w:pPr>
        <w:adjustRightInd w:val="0"/>
        <w:snapToGrid w:val="0"/>
        <w:spacing w:line="500" w:lineRule="exact"/>
        <w:ind w:firstLine="562" w:firstLineChars="200"/>
        <w:rPr>
          <w:rFonts w:eastAsia="方正仿宋_GBK"/>
          <w:sz w:val="28"/>
          <w:szCs w:val="28"/>
        </w:rPr>
      </w:pPr>
      <w:r>
        <w:rPr>
          <w:rFonts w:eastAsia="方正仿宋_GBK"/>
          <w:b/>
          <w:bCs/>
          <w:sz w:val="28"/>
          <w:szCs w:val="28"/>
        </w:rPr>
        <w:t>甲方（购电方：电力用户）</w:t>
      </w:r>
      <w:r>
        <w:rPr>
          <w:rFonts w:hint="eastAsia" w:eastAsia="方正仿宋_GBK"/>
          <w:b/>
          <w:bCs/>
          <w:sz w:val="28"/>
          <w:szCs w:val="28"/>
        </w:rPr>
        <w:t>：</w:t>
      </w:r>
      <w:r>
        <w:rPr>
          <w:rFonts w:eastAsia="方正仿宋_GBK"/>
          <w:sz w:val="28"/>
          <w:szCs w:val="28"/>
          <w:u w:val="single"/>
        </w:rPr>
        <w:t xml:space="preserve">    </w:t>
      </w:r>
      <w:r>
        <w:rPr>
          <w:rFonts w:eastAsia="方正仿宋_GBK"/>
          <w:sz w:val="28"/>
          <w:szCs w:val="28"/>
        </w:rPr>
        <w:t>系一家具有法人资格/经法人单位授权的用电企业，电力用户编码</w:t>
      </w:r>
      <w:r>
        <w:rPr>
          <w:rFonts w:eastAsia="方正仿宋_GBK"/>
          <w:sz w:val="28"/>
          <w:szCs w:val="28"/>
          <w:u w:val="single"/>
        </w:rPr>
        <w:t xml:space="preserve">    </w:t>
      </w:r>
      <w:r>
        <w:rPr>
          <w:rFonts w:eastAsia="方正仿宋_GBK"/>
          <w:sz w:val="28"/>
          <w:szCs w:val="28"/>
        </w:rPr>
        <w:t>，用电电压等级</w:t>
      </w:r>
      <w:r>
        <w:rPr>
          <w:rFonts w:eastAsia="方正仿宋_GBK"/>
          <w:sz w:val="28"/>
          <w:szCs w:val="28"/>
          <w:u w:val="single"/>
        </w:rPr>
        <w:t xml:space="preserve">    </w:t>
      </w:r>
      <w:r>
        <w:rPr>
          <w:rFonts w:eastAsia="方正仿宋_GBK"/>
          <w:sz w:val="28"/>
          <w:szCs w:val="28"/>
        </w:rPr>
        <w:t>。企业所在地为</w:t>
      </w:r>
      <w:r>
        <w:rPr>
          <w:rFonts w:eastAsia="方正仿宋_GBK"/>
          <w:sz w:val="28"/>
          <w:szCs w:val="28"/>
          <w:u w:val="single"/>
        </w:rPr>
        <w:t xml:space="preserve">         </w:t>
      </w:r>
      <w:r>
        <w:rPr>
          <w:rFonts w:eastAsia="方正仿宋_GBK"/>
          <w:sz w:val="28"/>
          <w:szCs w:val="28"/>
        </w:rPr>
        <w:t>，在</w:t>
      </w:r>
      <w:r>
        <w:rPr>
          <w:rFonts w:eastAsia="方正仿宋_GBK"/>
          <w:sz w:val="28"/>
          <w:szCs w:val="28"/>
          <w:u w:val="single"/>
        </w:rPr>
        <w:t xml:space="preserve">       </w:t>
      </w:r>
      <w:r>
        <w:rPr>
          <w:rFonts w:eastAsia="方正仿宋_GBK"/>
          <w:sz w:val="28"/>
          <w:szCs w:val="28"/>
        </w:rPr>
        <w:t>登记注册，社会统一信用代码：</w:t>
      </w:r>
      <w:r>
        <w:rPr>
          <w:rFonts w:eastAsia="方正仿宋_GBK"/>
          <w:sz w:val="28"/>
          <w:szCs w:val="28"/>
          <w:u w:val="single"/>
        </w:rPr>
        <w:t xml:space="preserve">     </w:t>
      </w:r>
      <w:r>
        <w:rPr>
          <w:rFonts w:eastAsia="方正仿宋_GBK"/>
          <w:sz w:val="28"/>
          <w:szCs w:val="28"/>
        </w:rPr>
        <w:t>，法定代表人/授权代理人：</w:t>
      </w:r>
      <w:r>
        <w:rPr>
          <w:rFonts w:eastAsia="方正仿宋_GBK"/>
          <w:sz w:val="28"/>
          <w:szCs w:val="28"/>
          <w:u w:val="single"/>
        </w:rPr>
        <w:t xml:space="preserve">  </w:t>
      </w:r>
      <w:r>
        <w:rPr>
          <w:rFonts w:eastAsia="方正仿宋_GBK"/>
          <w:sz w:val="28"/>
          <w:szCs w:val="28"/>
        </w:rPr>
        <w:t xml:space="preserve">。 </w:t>
      </w:r>
    </w:p>
    <w:p>
      <w:pPr>
        <w:adjustRightInd w:val="0"/>
        <w:snapToGrid w:val="0"/>
        <w:spacing w:line="500" w:lineRule="exact"/>
        <w:ind w:firstLine="562" w:firstLineChars="200"/>
        <w:rPr>
          <w:rFonts w:eastAsia="方正仿宋_GBK"/>
          <w:sz w:val="28"/>
          <w:szCs w:val="28"/>
        </w:rPr>
      </w:pPr>
      <w:r>
        <w:rPr>
          <w:rFonts w:eastAsia="方正仿宋_GBK"/>
          <w:b/>
          <w:bCs/>
          <w:sz w:val="28"/>
          <w:szCs w:val="28"/>
        </w:rPr>
        <w:t>乙方（售电方：发电企业）</w:t>
      </w:r>
      <w:r>
        <w:rPr>
          <w:rFonts w:eastAsia="方正仿宋_GBK"/>
          <w:sz w:val="28"/>
          <w:szCs w:val="28"/>
        </w:rPr>
        <w:t>：</w:t>
      </w:r>
      <w:r>
        <w:rPr>
          <w:rFonts w:eastAsia="方正仿宋_GBK"/>
          <w:sz w:val="28"/>
          <w:szCs w:val="28"/>
          <w:u w:val="single"/>
        </w:rPr>
        <w:t xml:space="preserve">     </w:t>
      </w:r>
      <w:r>
        <w:rPr>
          <w:rFonts w:eastAsia="方正仿宋_GBK"/>
          <w:sz w:val="28"/>
          <w:szCs w:val="28"/>
        </w:rPr>
        <w:t>系一家具有法人资格的售电公司，符合售电公司准入条件并具备相关资质，企业所在地为</w:t>
      </w:r>
      <w:r>
        <w:rPr>
          <w:rFonts w:eastAsia="方正仿宋_GBK"/>
          <w:sz w:val="28"/>
          <w:szCs w:val="28"/>
          <w:u w:val="single"/>
        </w:rPr>
        <w:t xml:space="preserve">          </w:t>
      </w:r>
      <w:r>
        <w:rPr>
          <w:rFonts w:eastAsia="方正仿宋_GBK"/>
          <w:sz w:val="28"/>
          <w:szCs w:val="28"/>
        </w:rPr>
        <w:t>，在</w:t>
      </w:r>
      <w:r>
        <w:rPr>
          <w:rFonts w:eastAsia="方正仿宋_GBK"/>
          <w:sz w:val="28"/>
          <w:szCs w:val="28"/>
          <w:u w:val="single"/>
        </w:rPr>
        <w:t xml:space="preserve">      </w:t>
      </w:r>
      <w:r>
        <w:rPr>
          <w:rFonts w:eastAsia="方正仿宋_GBK"/>
          <w:sz w:val="28"/>
          <w:szCs w:val="28"/>
        </w:rPr>
        <w:t>登记注册，统一社会信用代码：</w:t>
      </w:r>
      <w:r>
        <w:rPr>
          <w:rFonts w:eastAsia="方正仿宋_GBK"/>
          <w:sz w:val="28"/>
          <w:szCs w:val="28"/>
          <w:u w:val="single"/>
        </w:rPr>
        <w:t xml:space="preserve">       </w:t>
      </w:r>
      <w:r>
        <w:rPr>
          <w:rFonts w:eastAsia="方正仿宋_GBK"/>
          <w:sz w:val="28"/>
          <w:szCs w:val="28"/>
        </w:rPr>
        <w:t>，法定代表人/授权代理人：</w:t>
      </w:r>
      <w:r>
        <w:rPr>
          <w:rFonts w:eastAsia="方正仿宋_GBK"/>
          <w:sz w:val="28"/>
          <w:szCs w:val="28"/>
          <w:u w:val="single"/>
        </w:rPr>
        <w:t xml:space="preserve">        </w:t>
      </w:r>
      <w:r>
        <w:rPr>
          <w:rFonts w:eastAsia="方正仿宋_GBK"/>
          <w:sz w:val="28"/>
          <w:szCs w:val="28"/>
        </w:rPr>
        <w:t>。</w:t>
      </w:r>
    </w:p>
    <w:p>
      <w:pPr>
        <w:adjustRightInd w:val="0"/>
        <w:snapToGrid w:val="0"/>
        <w:spacing w:line="500" w:lineRule="exact"/>
        <w:ind w:firstLine="560" w:firstLineChars="200"/>
        <w:rPr>
          <w:rFonts w:eastAsia="方正仿宋_GBK"/>
          <w:sz w:val="28"/>
          <w:szCs w:val="28"/>
        </w:rPr>
      </w:pPr>
      <w:r>
        <w:rPr>
          <w:rFonts w:eastAsia="方正仿宋_GBK"/>
          <w:sz w:val="28"/>
          <w:szCs w:val="28"/>
        </w:rPr>
        <w:t>甲、乙方根据国家有关法律、法规，按照《国家发改委关于进一步深化燃煤发电上网电价市场化改革的通知》（发改价格〔2021〕1439号）、《国家发改委办公厅关于组织开展电网企业代理购电有关事项的通知》（发改价格〔2021〕809号）、《重庆市发改委关于调整我市工商业目录销售电价的通知》（渝发改价格〔2021〕1330号）、《重庆市发展和改革委员会关于进一步完善我市分时电价机制有关事项的通知》（渝发改规范〔2021〕14号）等文件，本着平等、自愿、公平和诚信的原则，经协商一致，达成本代理意向协议，约定如下：</w:t>
      </w:r>
    </w:p>
    <w:p>
      <w:pPr>
        <w:adjustRightInd w:val="0"/>
        <w:snapToGrid w:val="0"/>
        <w:spacing w:line="500" w:lineRule="exact"/>
        <w:ind w:firstLine="560" w:firstLineChars="200"/>
        <w:rPr>
          <w:rFonts w:eastAsia="方正仿宋_GBK"/>
          <w:sz w:val="28"/>
          <w:szCs w:val="28"/>
        </w:rPr>
      </w:pPr>
      <w:r>
        <w:rPr>
          <w:rFonts w:eastAsia="方正仿宋_GBK"/>
          <w:sz w:val="28"/>
          <w:szCs w:val="28"/>
        </w:rPr>
        <w:t>一、甲方于      年  月至   月向乙方购电  万千瓦时，电量以实际结算电量为准。</w:t>
      </w:r>
    </w:p>
    <w:p>
      <w:pPr>
        <w:adjustRightInd w:val="0"/>
        <w:snapToGrid w:val="0"/>
        <w:spacing w:line="500" w:lineRule="exact"/>
        <w:ind w:firstLine="560" w:firstLineChars="200"/>
        <w:rPr>
          <w:rFonts w:eastAsia="方正仿宋_GBK"/>
          <w:sz w:val="28"/>
          <w:szCs w:val="28"/>
        </w:rPr>
      </w:pPr>
      <w:r>
        <w:rPr>
          <w:rFonts w:eastAsia="方正仿宋_GBK"/>
          <w:sz w:val="28"/>
          <w:szCs w:val="28"/>
        </w:rPr>
        <w:t>二、协议有效期内，甲方购电电价用顺价模式，由用户分时平段交易价格（含税）+输配电价+政府性基金及附加组成（不含变压器基本电费、力调电费及辅助服务费）+乙方让利价格（负数）。</w:t>
      </w:r>
    </w:p>
    <w:p>
      <w:pPr>
        <w:adjustRightInd w:val="0"/>
        <w:snapToGrid w:val="0"/>
        <w:spacing w:line="500" w:lineRule="exact"/>
        <w:ind w:firstLine="560" w:firstLineChars="200"/>
        <w:rPr>
          <w:rFonts w:eastAsia="方正仿宋_GBK"/>
          <w:sz w:val="28"/>
          <w:szCs w:val="28"/>
        </w:rPr>
      </w:pPr>
      <w:r>
        <w:rPr>
          <w:rFonts w:eastAsia="方正仿宋_GBK"/>
          <w:sz w:val="28"/>
          <w:szCs w:val="28"/>
        </w:rPr>
        <w:t>1.甲方购电的分时平段交易价格：由甲乙双方协商确定，且以燃煤发电企业基准电价0.3964元/千瓦时为基础，非高耗能企业上浮比例原则上不超过20%，高耗能企业上浮比例不受20%限制。</w:t>
      </w:r>
    </w:p>
    <w:p>
      <w:pPr>
        <w:adjustRightInd w:val="0"/>
        <w:snapToGrid w:val="0"/>
        <w:spacing w:line="500" w:lineRule="exact"/>
        <w:ind w:firstLine="560" w:firstLineChars="200"/>
        <w:rPr>
          <w:rFonts w:eastAsia="方正仿宋_GBK"/>
          <w:sz w:val="28"/>
          <w:szCs w:val="28"/>
        </w:rPr>
      </w:pPr>
      <w:r>
        <w:rPr>
          <w:rFonts w:eastAsia="方正仿宋_GBK"/>
          <w:sz w:val="28"/>
          <w:szCs w:val="28"/>
        </w:rPr>
        <w:t>2.甲方购电的输配电价、政府性基金及附加等按《重庆市发展和改革委员会关于调整我市销售电价有关事项的通知》渝发改价格〔2020〕1751号文执行。</w:t>
      </w:r>
    </w:p>
    <w:p>
      <w:pPr>
        <w:adjustRightInd w:val="0"/>
        <w:snapToGrid w:val="0"/>
        <w:spacing w:line="500" w:lineRule="exact"/>
        <w:ind w:firstLine="560" w:firstLineChars="200"/>
        <w:rPr>
          <w:rFonts w:eastAsia="方正仿宋_GBK"/>
          <w:sz w:val="28"/>
          <w:szCs w:val="28"/>
        </w:rPr>
      </w:pPr>
      <w:r>
        <w:rPr>
          <w:rFonts w:eastAsia="方正仿宋_GBK"/>
          <w:sz w:val="28"/>
          <w:szCs w:val="28"/>
        </w:rPr>
        <w:t>3.甲方购电的其余分时段电价按照《重庆市发展和改革委员会关于进一步完善我市分时电价机制有关事项的通知》（渝发改规范〔2021〕14号）文执行。</w:t>
      </w:r>
    </w:p>
    <w:p>
      <w:pPr>
        <w:adjustRightInd w:val="0"/>
        <w:snapToGrid w:val="0"/>
        <w:spacing w:line="500" w:lineRule="exact"/>
        <w:ind w:firstLine="560" w:firstLineChars="200"/>
        <w:rPr>
          <w:rFonts w:eastAsia="方正仿宋_GBK"/>
          <w:sz w:val="28"/>
          <w:szCs w:val="28"/>
        </w:rPr>
      </w:pPr>
      <w:r>
        <w:rPr>
          <w:rFonts w:eastAsia="方正仿宋_GBK"/>
          <w:sz w:val="28"/>
          <w:szCs w:val="28"/>
        </w:rPr>
        <w:t>4. 输配电价参与电力市场化交易分时浮动，具体按政府相关文件执行。</w:t>
      </w:r>
    </w:p>
    <w:p>
      <w:pPr>
        <w:adjustRightInd w:val="0"/>
        <w:snapToGrid w:val="0"/>
        <w:spacing w:line="500" w:lineRule="exact"/>
        <w:ind w:firstLine="560" w:firstLineChars="200"/>
        <w:rPr>
          <w:rFonts w:eastAsia="方正仿宋_GBK"/>
          <w:sz w:val="28"/>
          <w:szCs w:val="28"/>
        </w:rPr>
      </w:pPr>
      <w:r>
        <w:rPr>
          <w:rFonts w:eastAsia="方正仿宋_GBK"/>
          <w:sz w:val="28"/>
          <w:szCs w:val="28"/>
        </w:rPr>
        <w:t>5.协议执行有效期内，如遇政府政策文件调整，以调整后的规定为准。</w:t>
      </w:r>
    </w:p>
    <w:p>
      <w:pPr>
        <w:adjustRightInd w:val="0"/>
        <w:snapToGrid w:val="0"/>
        <w:spacing w:line="500" w:lineRule="exact"/>
        <w:ind w:firstLine="560" w:firstLineChars="200"/>
        <w:rPr>
          <w:rFonts w:eastAsia="方正仿宋_GBK"/>
          <w:sz w:val="28"/>
          <w:szCs w:val="28"/>
        </w:rPr>
      </w:pPr>
      <w:r>
        <w:rPr>
          <w:rFonts w:eastAsia="方正仿宋_GBK"/>
          <w:sz w:val="28"/>
          <w:szCs w:val="28"/>
        </w:rPr>
        <w:t>三、期间，如遇国家调整电价，甲乙双方在保证发电侧让利不变情况下调整发电侧交易价格、用户侧交易价格和到户电度电价，双方不再重新签订协议。</w:t>
      </w:r>
    </w:p>
    <w:p>
      <w:pPr>
        <w:adjustRightInd w:val="0"/>
        <w:snapToGrid w:val="0"/>
        <w:spacing w:line="500" w:lineRule="exact"/>
        <w:ind w:firstLine="560" w:firstLineChars="200"/>
        <w:rPr>
          <w:rFonts w:eastAsia="方正仿宋_GBK"/>
          <w:sz w:val="28"/>
          <w:szCs w:val="28"/>
        </w:rPr>
      </w:pPr>
      <w:r>
        <w:rPr>
          <w:rFonts w:eastAsia="方正仿宋_GBK"/>
          <w:sz w:val="28"/>
          <w:szCs w:val="28"/>
        </w:rPr>
        <w:t>本协议一式柒份，甲乙双方各执两份，交重庆市经济和信息化委员会、国网重庆市电力公司和重庆电力交易中心有限公司各一份备案。</w:t>
      </w:r>
    </w:p>
    <w:p>
      <w:pPr>
        <w:adjustRightInd w:val="0"/>
        <w:snapToGrid w:val="0"/>
        <w:spacing w:line="500" w:lineRule="exact"/>
        <w:rPr>
          <w:rFonts w:eastAsia="方正仿宋_GBK"/>
          <w:sz w:val="28"/>
          <w:szCs w:val="28"/>
        </w:rPr>
      </w:pPr>
    </w:p>
    <w:p>
      <w:pPr>
        <w:adjustRightInd w:val="0"/>
        <w:snapToGrid w:val="0"/>
        <w:spacing w:line="500" w:lineRule="exact"/>
        <w:ind w:firstLine="560" w:firstLineChars="200"/>
        <w:rPr>
          <w:rFonts w:eastAsia="方正仿宋_GBK"/>
          <w:sz w:val="28"/>
          <w:szCs w:val="28"/>
        </w:rPr>
      </w:pPr>
      <w:r>
        <w:rPr>
          <w:rFonts w:eastAsia="方正仿宋_GBK"/>
          <w:sz w:val="28"/>
          <w:szCs w:val="28"/>
        </w:rPr>
        <w:t xml:space="preserve">甲方：                              乙方：                      </w:t>
      </w:r>
    </w:p>
    <w:p>
      <w:pPr>
        <w:adjustRightInd w:val="0"/>
        <w:snapToGrid w:val="0"/>
        <w:spacing w:line="500" w:lineRule="exact"/>
        <w:ind w:firstLine="560" w:firstLineChars="200"/>
        <w:rPr>
          <w:rFonts w:eastAsia="方正仿宋_GBK"/>
          <w:sz w:val="28"/>
          <w:szCs w:val="28"/>
        </w:rPr>
      </w:pPr>
      <w:r>
        <w:rPr>
          <w:rFonts w:eastAsia="方正仿宋_GBK"/>
          <w:sz w:val="28"/>
          <w:szCs w:val="28"/>
        </w:rPr>
        <w:t>法人代表/授权代理人：          法人代表/授权代理人：</w:t>
      </w:r>
    </w:p>
    <w:p>
      <w:pPr>
        <w:adjustRightInd w:val="0"/>
        <w:snapToGrid w:val="0"/>
        <w:spacing w:line="500" w:lineRule="exact"/>
        <w:ind w:firstLine="560" w:firstLineChars="200"/>
        <w:rPr>
          <w:rFonts w:eastAsia="方正仿宋_GBK"/>
          <w:sz w:val="28"/>
          <w:szCs w:val="28"/>
        </w:rPr>
      </w:pPr>
      <w:r>
        <w:rPr>
          <w:rFonts w:eastAsia="方正仿宋_GBK"/>
          <w:sz w:val="28"/>
          <w:szCs w:val="28"/>
        </w:rPr>
        <w:t>单位签章：                        单位签章：</w:t>
      </w:r>
    </w:p>
    <w:p>
      <w:pPr>
        <w:adjustRightInd w:val="0"/>
        <w:snapToGrid w:val="0"/>
        <w:spacing w:line="500" w:lineRule="exact"/>
        <w:ind w:firstLine="560" w:firstLineChars="200"/>
        <w:rPr>
          <w:rFonts w:eastAsia="方正仿宋_GBK"/>
          <w:sz w:val="28"/>
          <w:szCs w:val="28"/>
        </w:rPr>
      </w:pPr>
    </w:p>
    <w:p>
      <w:pPr>
        <w:adjustRightInd w:val="0"/>
        <w:snapToGrid w:val="0"/>
        <w:spacing w:line="500" w:lineRule="exact"/>
        <w:jc w:val="center"/>
        <w:rPr>
          <w:rFonts w:eastAsia="方正仿宋_GBK"/>
          <w:sz w:val="28"/>
          <w:szCs w:val="28"/>
        </w:rPr>
      </w:pPr>
      <w:r>
        <w:rPr>
          <w:rFonts w:eastAsia="方正仿宋_GBK"/>
          <w:sz w:val="28"/>
          <w:szCs w:val="28"/>
        </w:rPr>
        <w:t>签约时间：    年  月  日</w:t>
      </w:r>
    </w:p>
    <w:p>
      <w:pPr>
        <w:widowControl/>
        <w:spacing w:line="500" w:lineRule="exact"/>
        <w:rPr>
          <w:rFonts w:eastAsia="楷体"/>
          <w:sz w:val="28"/>
          <w:szCs w:val="28"/>
        </w:rPr>
      </w:pPr>
      <w:r>
        <w:rPr>
          <w:rFonts w:eastAsia="楷体"/>
          <w:sz w:val="28"/>
          <w:szCs w:val="28"/>
        </w:rPr>
        <w:br w:type="page"/>
      </w:r>
    </w:p>
    <w:p>
      <w:pPr>
        <w:pStyle w:val="2"/>
        <w:spacing w:line="540" w:lineRule="exact"/>
        <w:jc w:val="center"/>
        <w:rPr>
          <w:rFonts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第四部分：其他要求</w:t>
      </w:r>
    </w:p>
    <w:p>
      <w:pPr>
        <w:pStyle w:val="2"/>
        <w:spacing w:line="540" w:lineRule="exact"/>
        <w:jc w:val="center"/>
        <w:rPr>
          <w:rFonts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投标函</w:t>
      </w:r>
    </w:p>
    <w:p>
      <w:pPr>
        <w:spacing w:line="56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b/>
          <w:sz w:val="28"/>
          <w:szCs w:val="28"/>
          <w:u w:val="single"/>
        </w:rPr>
        <w:t>重庆盛普物资有限公司</w:t>
      </w:r>
      <w:r>
        <w:rPr>
          <w:rFonts w:hint="eastAsia" w:ascii="方正仿宋_GBK" w:hAnsi="方正仿宋_GBK" w:eastAsia="方正仿宋_GBK" w:cs="方正仿宋_GBK"/>
          <w:sz w:val="24"/>
          <w:u w:val="single"/>
        </w:rPr>
        <w:t>：</w:t>
      </w:r>
    </w:p>
    <w:p>
      <w:pPr>
        <w:spacing w:line="440" w:lineRule="exact"/>
        <w:ind w:firstLine="480"/>
        <w:rPr>
          <w:rFonts w:eastAsia="方正仿宋_GBK"/>
          <w:sz w:val="28"/>
          <w:szCs w:val="28"/>
        </w:rPr>
      </w:pPr>
      <w:r>
        <w:rPr>
          <w:rFonts w:eastAsia="方正仿宋_GBK"/>
          <w:sz w:val="28"/>
          <w:szCs w:val="28"/>
        </w:rPr>
        <w:t>1、我方已仔细研究了你方</w:t>
      </w:r>
      <w:r>
        <w:rPr>
          <w:rFonts w:eastAsia="方正仿宋_GBK"/>
          <w:sz w:val="28"/>
          <w:szCs w:val="28"/>
          <w:u w:val="single"/>
        </w:rPr>
        <w:t>2023年二、三、四季度电力市场化交易（含政府基金附加、输配电、辅助服务费）</w:t>
      </w:r>
      <w:r>
        <w:rPr>
          <w:rFonts w:hint="eastAsia" w:eastAsia="方正仿宋_GBK"/>
          <w:sz w:val="28"/>
          <w:szCs w:val="28"/>
          <w:u w:val="single"/>
          <w:lang w:eastAsia="zh-CN"/>
        </w:rPr>
        <w:t>集中采购自主</w:t>
      </w:r>
      <w:r>
        <w:rPr>
          <w:rFonts w:eastAsia="方正仿宋_GBK"/>
          <w:sz w:val="28"/>
          <w:szCs w:val="28"/>
          <w:u w:val="single"/>
        </w:rPr>
        <w:t>公开招标</w:t>
      </w:r>
      <w:r>
        <w:rPr>
          <w:rFonts w:eastAsia="方正仿宋_GBK"/>
          <w:sz w:val="28"/>
          <w:szCs w:val="28"/>
        </w:rPr>
        <w:t>（招标项目名称）招标文件的全部内容，并完全同意按照你方招标文件的要求参与投标。我方承诺在投标有效期内不修改、撤销投标文件。</w:t>
      </w:r>
    </w:p>
    <w:p>
      <w:pPr>
        <w:spacing w:line="440" w:lineRule="exact"/>
        <w:ind w:firstLine="480"/>
        <w:rPr>
          <w:rFonts w:eastAsia="方正仿宋_GBK"/>
          <w:sz w:val="28"/>
          <w:szCs w:val="28"/>
        </w:rPr>
      </w:pPr>
      <w:r>
        <w:rPr>
          <w:rFonts w:eastAsia="方正仿宋_GBK"/>
          <w:sz w:val="28"/>
          <w:szCs w:val="28"/>
        </w:rPr>
        <w:t>2、如我方中标：</w:t>
      </w:r>
    </w:p>
    <w:p>
      <w:pPr>
        <w:spacing w:line="440" w:lineRule="exact"/>
        <w:ind w:firstLine="480"/>
        <w:rPr>
          <w:rFonts w:eastAsia="方正仿宋_GBK"/>
          <w:sz w:val="28"/>
          <w:szCs w:val="28"/>
        </w:rPr>
      </w:pPr>
      <w:r>
        <w:rPr>
          <w:rFonts w:eastAsia="方正仿宋_GBK"/>
          <w:sz w:val="28"/>
          <w:szCs w:val="28"/>
        </w:rPr>
        <w:t>（1）我方承诺在收到中标通知书后，在你方规定的</w:t>
      </w:r>
      <w:r>
        <w:rPr>
          <w:rFonts w:eastAsia="方正仿宋_GBK"/>
          <w:sz w:val="28"/>
          <w:szCs w:val="28"/>
          <w:u w:val="single"/>
        </w:rPr>
        <w:t>5</w:t>
      </w:r>
      <w:r>
        <w:rPr>
          <w:rFonts w:eastAsia="方正仿宋_GBK"/>
          <w:sz w:val="28"/>
          <w:szCs w:val="28"/>
        </w:rPr>
        <w:t>个工作日内与你方</w:t>
      </w:r>
      <w:r>
        <w:rPr>
          <w:rFonts w:hint="eastAsia" w:eastAsia="方正仿宋_GBK"/>
          <w:sz w:val="28"/>
          <w:szCs w:val="28"/>
        </w:rPr>
        <w:t>及</w:t>
      </w:r>
      <w:r>
        <w:rPr>
          <w:rFonts w:eastAsia="方正仿宋_GBK"/>
          <w:sz w:val="28"/>
          <w:szCs w:val="28"/>
        </w:rPr>
        <w:t>所属企业签订供电协议；</w:t>
      </w:r>
    </w:p>
    <w:p>
      <w:pPr>
        <w:spacing w:line="440" w:lineRule="exact"/>
        <w:ind w:firstLine="480"/>
        <w:rPr>
          <w:rFonts w:eastAsia="方正仿宋_GBK"/>
          <w:sz w:val="28"/>
          <w:szCs w:val="28"/>
        </w:rPr>
      </w:pPr>
      <w:r>
        <w:rPr>
          <w:rFonts w:eastAsia="方正仿宋_GBK"/>
          <w:sz w:val="28"/>
          <w:szCs w:val="28"/>
        </w:rPr>
        <w:t>（2）我方承诺在收到中标通知书后，如果放弃中标义务，你方有权向我方收取</w:t>
      </w:r>
      <w:r>
        <w:rPr>
          <w:rFonts w:eastAsia="方正仿宋_GBK"/>
          <w:sz w:val="28"/>
          <w:szCs w:val="28"/>
          <w:u w:val="single"/>
        </w:rPr>
        <w:t>人民币壹拾万元</w:t>
      </w:r>
      <w:r>
        <w:rPr>
          <w:rFonts w:eastAsia="方正仿宋_GBK"/>
          <w:sz w:val="28"/>
          <w:szCs w:val="28"/>
        </w:rPr>
        <w:t>的违约补偿金；</w:t>
      </w:r>
    </w:p>
    <w:p>
      <w:pPr>
        <w:spacing w:line="440" w:lineRule="exact"/>
        <w:ind w:firstLine="480"/>
        <w:rPr>
          <w:rFonts w:eastAsia="方正仿宋_GBK"/>
          <w:sz w:val="28"/>
          <w:szCs w:val="28"/>
        </w:rPr>
      </w:pPr>
      <w:r>
        <w:rPr>
          <w:rFonts w:eastAsia="方正仿宋_GBK"/>
          <w:sz w:val="28"/>
          <w:szCs w:val="28"/>
        </w:rPr>
        <w:t>（3）我方承诺无条件执行招标文件及合同约定的全部条款，</w:t>
      </w:r>
      <w:r>
        <w:rPr>
          <w:rFonts w:hint="eastAsia" w:eastAsia="方正仿宋_GBK"/>
          <w:sz w:val="28"/>
          <w:szCs w:val="28"/>
        </w:rPr>
        <w:t>若我方违约，</w:t>
      </w:r>
      <w:r>
        <w:rPr>
          <w:rFonts w:eastAsia="方正仿宋_GBK"/>
          <w:sz w:val="28"/>
          <w:szCs w:val="28"/>
        </w:rPr>
        <w:t>你方有权向我方收取</w:t>
      </w:r>
      <w:r>
        <w:rPr>
          <w:rFonts w:eastAsia="方正仿宋_GBK"/>
          <w:sz w:val="28"/>
          <w:szCs w:val="28"/>
          <w:u w:val="single"/>
        </w:rPr>
        <w:t>人民币壹拾万元</w:t>
      </w:r>
      <w:r>
        <w:rPr>
          <w:rFonts w:eastAsia="方正仿宋_GBK"/>
          <w:sz w:val="28"/>
          <w:szCs w:val="28"/>
        </w:rPr>
        <w:t>的违约补偿金；</w:t>
      </w:r>
    </w:p>
    <w:p>
      <w:pPr>
        <w:spacing w:line="440" w:lineRule="exact"/>
        <w:ind w:firstLine="480"/>
        <w:rPr>
          <w:rFonts w:eastAsia="方正仿宋_GBK"/>
          <w:sz w:val="28"/>
          <w:szCs w:val="28"/>
        </w:rPr>
      </w:pPr>
      <w:r>
        <w:rPr>
          <w:rFonts w:eastAsia="方正仿宋_GBK"/>
          <w:sz w:val="28"/>
          <w:szCs w:val="28"/>
        </w:rPr>
        <w:t>（4）我方将全面履行电力营销服务义务。</w:t>
      </w:r>
    </w:p>
    <w:p>
      <w:pPr>
        <w:spacing w:line="440" w:lineRule="exact"/>
        <w:ind w:firstLine="465"/>
        <w:rPr>
          <w:rFonts w:eastAsia="方正仿宋_GBK"/>
          <w:sz w:val="28"/>
          <w:szCs w:val="28"/>
        </w:rPr>
      </w:pPr>
      <w:r>
        <w:rPr>
          <w:rFonts w:eastAsia="方正仿宋_GBK"/>
          <w:sz w:val="28"/>
          <w:szCs w:val="28"/>
        </w:rPr>
        <w:t>4、我方在此声明：所递交的投标文件及有关资料内容完整、真实准确，且不存在任何恶意竞标的行为。</w:t>
      </w:r>
    </w:p>
    <w:p>
      <w:pPr>
        <w:spacing w:line="440" w:lineRule="exact"/>
        <w:ind w:firstLine="465"/>
        <w:rPr>
          <w:rFonts w:eastAsia="方正仿宋_GBK"/>
          <w:sz w:val="28"/>
          <w:szCs w:val="28"/>
        </w:rPr>
      </w:pPr>
      <w:r>
        <w:rPr>
          <w:rFonts w:eastAsia="方正仿宋_GBK"/>
          <w:sz w:val="28"/>
          <w:szCs w:val="28"/>
        </w:rPr>
        <w:t>5、本投标自开标之日起</w:t>
      </w:r>
      <w:r>
        <w:rPr>
          <w:rFonts w:eastAsia="方正仿宋_GBK"/>
          <w:sz w:val="28"/>
          <w:szCs w:val="28"/>
          <w:u w:val="single"/>
        </w:rPr>
        <w:t>90天</w:t>
      </w:r>
      <w:r>
        <w:rPr>
          <w:rFonts w:eastAsia="方正仿宋_GBK"/>
          <w:sz w:val="28"/>
          <w:szCs w:val="28"/>
        </w:rPr>
        <w:t>内有效。</w:t>
      </w:r>
    </w:p>
    <w:p>
      <w:pPr>
        <w:spacing w:line="440" w:lineRule="exact"/>
        <w:ind w:firstLine="465"/>
        <w:rPr>
          <w:rFonts w:eastAsia="方正仿宋_GBK"/>
          <w:sz w:val="28"/>
          <w:szCs w:val="28"/>
        </w:rPr>
      </w:pPr>
      <w:r>
        <w:rPr>
          <w:rFonts w:eastAsia="方正仿宋_GBK"/>
          <w:sz w:val="28"/>
          <w:szCs w:val="28"/>
        </w:rPr>
        <w:t>6、（其他补充说明）。</w:t>
      </w:r>
    </w:p>
    <w:p>
      <w:pPr>
        <w:spacing w:line="440" w:lineRule="exact"/>
        <w:rPr>
          <w:rFonts w:eastAsia="方正仿宋_GBK"/>
          <w:sz w:val="28"/>
          <w:szCs w:val="28"/>
        </w:rPr>
      </w:pPr>
    </w:p>
    <w:p>
      <w:pPr>
        <w:spacing w:line="440" w:lineRule="exact"/>
        <w:rPr>
          <w:rFonts w:eastAsia="方正仿宋_GBK"/>
          <w:sz w:val="28"/>
          <w:szCs w:val="28"/>
        </w:rPr>
      </w:pPr>
    </w:p>
    <w:p>
      <w:pPr>
        <w:spacing w:line="440" w:lineRule="exact"/>
        <w:rPr>
          <w:rFonts w:eastAsia="方正仿宋_GBK"/>
          <w:sz w:val="28"/>
          <w:szCs w:val="28"/>
        </w:rPr>
      </w:pPr>
      <w:r>
        <w:rPr>
          <w:rFonts w:eastAsia="方正仿宋_GBK"/>
          <w:sz w:val="28"/>
          <w:szCs w:val="28"/>
        </w:rPr>
        <w:t xml:space="preserve">投标人（盖公章）： </w:t>
      </w:r>
    </w:p>
    <w:p>
      <w:pPr>
        <w:spacing w:line="440" w:lineRule="exact"/>
        <w:rPr>
          <w:rFonts w:eastAsia="方正仿宋_GBK"/>
          <w:sz w:val="28"/>
          <w:szCs w:val="28"/>
        </w:rPr>
      </w:pPr>
      <w:r>
        <w:rPr>
          <w:rFonts w:eastAsia="方正仿宋_GBK"/>
          <w:sz w:val="28"/>
          <w:szCs w:val="28"/>
        </w:rPr>
        <w:t xml:space="preserve">法定代表人或其委托代理人（签字）： </w:t>
      </w:r>
    </w:p>
    <w:p>
      <w:pPr>
        <w:spacing w:line="440" w:lineRule="exact"/>
        <w:rPr>
          <w:rFonts w:eastAsia="方正仿宋_GBK"/>
          <w:sz w:val="28"/>
          <w:szCs w:val="28"/>
        </w:rPr>
      </w:pPr>
      <w:r>
        <w:rPr>
          <w:rFonts w:eastAsia="方正仿宋_GBK"/>
          <w:sz w:val="28"/>
          <w:szCs w:val="28"/>
        </w:rPr>
        <w:t>地址：</w:t>
      </w:r>
    </w:p>
    <w:p>
      <w:pPr>
        <w:spacing w:line="440" w:lineRule="exact"/>
        <w:rPr>
          <w:rFonts w:eastAsia="方正仿宋_GBK"/>
          <w:sz w:val="28"/>
          <w:szCs w:val="28"/>
          <w:u w:val="single"/>
        </w:rPr>
      </w:pPr>
      <w:r>
        <w:rPr>
          <w:rFonts w:eastAsia="方正仿宋_GBK"/>
          <w:sz w:val="28"/>
          <w:szCs w:val="28"/>
        </w:rPr>
        <w:t>网址：</w:t>
      </w:r>
    </w:p>
    <w:p>
      <w:pPr>
        <w:spacing w:line="440" w:lineRule="exact"/>
        <w:rPr>
          <w:rFonts w:eastAsia="方正仿宋_GBK"/>
          <w:sz w:val="28"/>
          <w:szCs w:val="28"/>
        </w:rPr>
      </w:pPr>
      <w:r>
        <w:rPr>
          <w:rFonts w:eastAsia="方正仿宋_GBK"/>
          <w:sz w:val="28"/>
          <w:szCs w:val="28"/>
        </w:rPr>
        <w:t>电话：</w:t>
      </w:r>
    </w:p>
    <w:p>
      <w:pPr>
        <w:spacing w:line="440" w:lineRule="exact"/>
        <w:rPr>
          <w:rFonts w:eastAsia="方正仿宋_GBK"/>
          <w:sz w:val="28"/>
          <w:szCs w:val="28"/>
        </w:rPr>
      </w:pPr>
      <w:r>
        <w:rPr>
          <w:rFonts w:eastAsia="方正仿宋_GBK"/>
          <w:sz w:val="28"/>
          <w:szCs w:val="28"/>
        </w:rPr>
        <w:t>传真：</w:t>
      </w:r>
    </w:p>
    <w:p>
      <w:pPr>
        <w:spacing w:line="440" w:lineRule="exact"/>
        <w:rPr>
          <w:rFonts w:eastAsia="方正仿宋_GBK"/>
          <w:sz w:val="28"/>
          <w:szCs w:val="28"/>
        </w:rPr>
      </w:pPr>
      <w:r>
        <w:rPr>
          <w:rFonts w:eastAsia="方正仿宋_GBK"/>
          <w:sz w:val="28"/>
          <w:szCs w:val="28"/>
        </w:rPr>
        <w:t>邮政编码：</w:t>
      </w:r>
    </w:p>
    <w:p>
      <w:pPr>
        <w:spacing w:line="440" w:lineRule="exact"/>
        <w:ind w:firstLine="6204" w:firstLineChars="2216"/>
        <w:rPr>
          <w:rFonts w:hint="eastAsia" w:eastAsia="方正仿宋_GBK"/>
          <w:sz w:val="28"/>
          <w:szCs w:val="28"/>
        </w:rPr>
      </w:pPr>
      <w:r>
        <w:rPr>
          <w:rFonts w:eastAsia="方正仿宋_GBK"/>
          <w:sz w:val="28"/>
          <w:szCs w:val="28"/>
        </w:rPr>
        <w:t>年   月   日</w:t>
      </w:r>
    </w:p>
    <w:p>
      <w:pPr>
        <w:widowControl/>
        <w:kinsoku w:val="0"/>
        <w:overflowPunct w:val="0"/>
        <w:spacing w:before="50" w:line="500" w:lineRule="exact"/>
        <w:ind w:left="1"/>
        <w:jc w:val="center"/>
        <w:rPr>
          <w:rFonts w:hint="eastAsia" w:ascii="方正小标宋_GBK" w:hAnsi="方正小标宋_GBK" w:eastAsia="方正小标宋_GBK" w:cs="方正小标宋_GBK"/>
          <w:sz w:val="44"/>
          <w:szCs w:val="44"/>
        </w:rPr>
      </w:pPr>
    </w:p>
    <w:p>
      <w:pPr>
        <w:widowControl/>
        <w:kinsoku w:val="0"/>
        <w:overflowPunct w:val="0"/>
        <w:spacing w:before="50" w:line="500" w:lineRule="exact"/>
        <w:ind w:left="1"/>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可提供增值服务证明</w:t>
      </w:r>
    </w:p>
    <w:p>
      <w:pPr>
        <w:pStyle w:val="4"/>
        <w:spacing w:line="500" w:lineRule="exact"/>
        <w:rPr>
          <w:rFonts w:eastAsia="楷体"/>
          <w:b/>
          <w:szCs w:val="28"/>
        </w:rPr>
      </w:pPr>
    </w:p>
    <w:p>
      <w:pPr>
        <w:pStyle w:val="4"/>
        <w:spacing w:line="500" w:lineRule="exact"/>
        <w:rPr>
          <w:rFonts w:ascii="方正仿宋_GBK" w:hAnsi="方正仿宋_GBK" w:eastAsia="方正仿宋_GBK" w:cs="方正仿宋_GBK"/>
          <w:szCs w:val="28"/>
        </w:rPr>
      </w:pPr>
      <w:r>
        <w:rPr>
          <w:rFonts w:hint="eastAsia" w:ascii="方正仿宋_GBK" w:hAnsi="方正仿宋_GBK" w:eastAsia="方正仿宋_GBK" w:cs="方正仿宋_GBK"/>
          <w:szCs w:val="28"/>
        </w:rPr>
        <w:t>（内容自定。如有第三方服务，要求提供第三方资格证明，并提供投标人与第三方相关签订的相关意向书。）</w:t>
      </w:r>
    </w:p>
    <w:p>
      <w:pPr>
        <w:pStyle w:val="2"/>
        <w:spacing w:line="540" w:lineRule="exact"/>
        <w:rPr>
          <w:rFonts w:ascii="Times New Roman" w:hAnsi="Times New Roman" w:eastAsia="楷体"/>
          <w:b w:val="0"/>
          <w:sz w:val="28"/>
          <w:szCs w:val="28"/>
        </w:rPr>
      </w:pPr>
    </w:p>
    <w:p/>
    <w:p/>
    <w:p/>
    <w:p/>
    <w:p/>
    <w:p/>
    <w:p/>
    <w:p/>
    <w:p/>
    <w:p/>
    <w:p/>
    <w:p/>
    <w:p/>
    <w:p/>
    <w:p/>
    <w:p/>
    <w:p/>
    <w:p/>
    <w:p/>
    <w:p/>
    <w:p/>
    <w:p/>
    <w:p/>
    <w:p/>
    <w:p/>
    <w:p/>
    <w:p/>
    <w:p/>
    <w:p/>
    <w:p/>
    <w:p/>
    <w:p>
      <w:pPr>
        <w:widowControl/>
        <w:kinsoku w:val="0"/>
        <w:overflowPunct w:val="0"/>
        <w:spacing w:before="50" w:line="500" w:lineRule="exact"/>
        <w:ind w:left="1"/>
        <w:jc w:val="center"/>
        <w:rPr>
          <w:rFonts w:ascii="方正小标宋_GBK" w:hAnsi="方正小标宋_GBK" w:eastAsia="方正小标宋_GBK" w:cs="方正小标宋_GBK"/>
          <w:sz w:val="44"/>
          <w:szCs w:val="44"/>
        </w:rPr>
      </w:pPr>
    </w:p>
    <w:p>
      <w:pPr>
        <w:widowControl/>
        <w:kinsoku w:val="0"/>
        <w:overflowPunct w:val="0"/>
        <w:spacing w:before="50" w:line="500" w:lineRule="exact"/>
        <w:ind w:left="1"/>
        <w:jc w:val="center"/>
        <w:rPr>
          <w:rFonts w:hint="eastAsia" w:ascii="方正小标宋_GBK" w:hAnsi="方正小标宋_GBK" w:eastAsia="方正小标宋_GBK" w:cs="方正小标宋_GBK"/>
          <w:sz w:val="44"/>
          <w:szCs w:val="44"/>
        </w:rPr>
      </w:pPr>
    </w:p>
    <w:p>
      <w:pPr>
        <w:widowControl/>
        <w:kinsoku w:val="0"/>
        <w:overflowPunct w:val="0"/>
        <w:spacing w:before="50" w:line="500" w:lineRule="exact"/>
        <w:ind w:left="1"/>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投标报价表</w:t>
      </w:r>
    </w:p>
    <w:p>
      <w:pPr>
        <w:widowControl/>
        <w:tabs>
          <w:tab w:val="left" w:pos="1188"/>
        </w:tabs>
        <w:kinsoku w:val="0"/>
        <w:overflowPunct w:val="0"/>
        <w:spacing w:before="131" w:line="500" w:lineRule="exact"/>
        <w:ind w:right="440"/>
        <w:jc w:val="right"/>
        <w:rPr>
          <w:rFonts w:ascii="方正楷体_GBK" w:hAnsi="方正楷体_GBK" w:eastAsia="方正楷体_GBK" w:cs="方正楷体_GBK"/>
          <w:sz w:val="22"/>
          <w:szCs w:val="22"/>
        </w:rPr>
      </w:pPr>
      <w:r>
        <w:rPr>
          <w:rFonts w:hint="eastAsia" w:ascii="方正楷体_GBK" w:hAnsi="方正楷体_GBK" w:eastAsia="方正楷体_GBK" w:cs="方正楷体_GBK"/>
          <w:sz w:val="22"/>
          <w:szCs w:val="22"/>
        </w:rPr>
        <w:t>表一：                       报价单位：人民币元/kW.h（含</w:t>
      </w:r>
      <w:r>
        <w:rPr>
          <w:rFonts w:hint="eastAsia" w:ascii="方正楷体_GBK" w:hAnsi="方正楷体_GBK" w:eastAsia="方正楷体_GBK" w:cs="方正楷体_GBK"/>
          <w:sz w:val="22"/>
          <w:szCs w:val="22"/>
          <w:u w:val="single"/>
        </w:rPr>
        <w:t xml:space="preserve">  </w:t>
      </w:r>
      <w:r>
        <w:rPr>
          <w:rFonts w:hint="eastAsia" w:ascii="方正楷体_GBK" w:hAnsi="方正楷体_GBK" w:eastAsia="方正楷体_GBK" w:cs="方正楷体_GBK"/>
          <w:sz w:val="22"/>
          <w:szCs w:val="22"/>
        </w:rPr>
        <w:t>%全额增值）</w:t>
      </w:r>
    </w:p>
    <w:tbl>
      <w:tblPr>
        <w:tblStyle w:val="9"/>
        <w:tblW w:w="4997"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9"/>
        <w:gridCol w:w="1249"/>
        <w:gridCol w:w="1279"/>
        <w:gridCol w:w="1402"/>
        <w:gridCol w:w="1402"/>
        <w:gridCol w:w="1333"/>
        <w:gridCol w:w="13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0" w:hRule="atLeast"/>
        </w:trPr>
        <w:tc>
          <w:tcPr>
            <w:tcW w:w="673" w:type="pct"/>
            <w:vAlign w:val="center"/>
          </w:tcPr>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电压</w:t>
            </w:r>
          </w:p>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等级</w:t>
            </w:r>
          </w:p>
        </w:tc>
        <w:tc>
          <w:tcPr>
            <w:tcW w:w="673" w:type="pct"/>
            <w:vAlign w:val="center"/>
          </w:tcPr>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政府性基金及附加</w:t>
            </w:r>
          </w:p>
        </w:tc>
        <w:tc>
          <w:tcPr>
            <w:tcW w:w="689" w:type="pct"/>
            <w:vAlign w:val="center"/>
          </w:tcPr>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输配</w:t>
            </w:r>
          </w:p>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电价</w:t>
            </w:r>
          </w:p>
        </w:tc>
        <w:tc>
          <w:tcPr>
            <w:tcW w:w="755" w:type="pct"/>
            <w:vAlign w:val="center"/>
          </w:tcPr>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分时段</w:t>
            </w:r>
          </w:p>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尖段电价</w:t>
            </w:r>
          </w:p>
        </w:tc>
        <w:tc>
          <w:tcPr>
            <w:tcW w:w="755" w:type="pct"/>
            <w:vAlign w:val="center"/>
          </w:tcPr>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分时段</w:t>
            </w:r>
          </w:p>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峰段电价</w:t>
            </w:r>
          </w:p>
        </w:tc>
        <w:tc>
          <w:tcPr>
            <w:tcW w:w="718" w:type="pct"/>
            <w:vAlign w:val="center"/>
          </w:tcPr>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分时段</w:t>
            </w:r>
          </w:p>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平段电价</w:t>
            </w:r>
          </w:p>
        </w:tc>
        <w:tc>
          <w:tcPr>
            <w:tcW w:w="733" w:type="pct"/>
            <w:vAlign w:val="center"/>
          </w:tcPr>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分时段</w:t>
            </w:r>
          </w:p>
          <w:p>
            <w:pPr>
              <w:widowControl/>
              <w:kinsoku w:val="0"/>
              <w:overflowPunct w:val="0"/>
              <w:spacing w:line="36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谷段电价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3" w:type="pct"/>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eastAsia="方正仿宋_GBK" w:asciiTheme="minorHAnsi" w:hAnsiTheme="minorHAnsi" w:cstheme="minorBidi"/>
                <w:sz w:val="22"/>
                <w:szCs w:val="22"/>
              </w:rPr>
              <w:t>定义</w:t>
            </w:r>
          </w:p>
        </w:tc>
        <w:tc>
          <w:tcPr>
            <w:tcW w:w="673" w:type="pct"/>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eastAsia="方正仿宋_GBK" w:asciiTheme="minorHAnsi" w:hAnsiTheme="minorHAnsi" w:cstheme="minorBidi"/>
                <w:sz w:val="22"/>
                <w:szCs w:val="22"/>
              </w:rPr>
              <w:t>(B)</w:t>
            </w:r>
          </w:p>
        </w:tc>
        <w:tc>
          <w:tcPr>
            <w:tcW w:w="689" w:type="pct"/>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eastAsia="方正仿宋_GBK" w:asciiTheme="minorHAnsi" w:hAnsiTheme="minorHAnsi" w:cstheme="minorBidi"/>
                <w:sz w:val="22"/>
                <w:szCs w:val="22"/>
              </w:rPr>
              <w:t>(C)</w:t>
            </w:r>
          </w:p>
        </w:tc>
        <w:tc>
          <w:tcPr>
            <w:tcW w:w="755"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eastAsia="方正仿宋_GBK" w:asciiTheme="minorHAnsi" w:hAnsiTheme="minorHAnsi" w:cstheme="minorBidi"/>
                <w:sz w:val="22"/>
                <w:szCs w:val="22"/>
              </w:rPr>
              <w:t>(D)</w:t>
            </w:r>
          </w:p>
        </w:tc>
        <w:tc>
          <w:tcPr>
            <w:tcW w:w="755"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hint="eastAsia" w:eastAsia="方正仿宋_GBK" w:asciiTheme="minorHAnsi" w:hAnsiTheme="minorHAnsi" w:cstheme="minorBidi"/>
                <w:sz w:val="22"/>
                <w:szCs w:val="22"/>
              </w:rPr>
              <w:t>（E）</w:t>
            </w:r>
          </w:p>
        </w:tc>
        <w:tc>
          <w:tcPr>
            <w:tcW w:w="718"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hint="eastAsia" w:eastAsia="方正仿宋_GBK" w:asciiTheme="minorHAnsi" w:hAnsiTheme="minorHAnsi" w:cstheme="minorBidi"/>
                <w:sz w:val="22"/>
                <w:szCs w:val="22"/>
              </w:rPr>
              <w:t>（F）</w:t>
            </w:r>
          </w:p>
        </w:tc>
        <w:tc>
          <w:tcPr>
            <w:tcW w:w="733"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hint="eastAsia" w:eastAsia="方正仿宋_GBK" w:asciiTheme="minorHAnsi" w:hAnsiTheme="minorHAnsi" w:cstheme="minorBidi"/>
                <w:sz w:val="22"/>
                <w:szCs w:val="22"/>
              </w:rPr>
              <w:t>（G）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3" w:type="pct"/>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eastAsia="方正仿宋_GBK" w:asciiTheme="minorHAnsi" w:hAnsiTheme="minorHAnsi" w:cstheme="minorBidi"/>
                <w:sz w:val="22"/>
                <w:szCs w:val="22"/>
              </w:rPr>
              <w:t>10千伏</w:t>
            </w:r>
          </w:p>
        </w:tc>
        <w:tc>
          <w:tcPr>
            <w:tcW w:w="673" w:type="pct"/>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689" w:type="pct"/>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55"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55"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18"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33"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3" w:type="pct"/>
            <w:vAlign w:val="center"/>
          </w:tcPr>
          <w:p>
            <w:pPr>
              <w:widowControl/>
              <w:kinsoku w:val="0"/>
              <w:overflowPunct w:val="0"/>
              <w:spacing w:line="500" w:lineRule="exact"/>
              <w:jc w:val="center"/>
              <w:rPr>
                <w:rFonts w:eastAsia="方正仿宋_GBK" w:asciiTheme="minorHAnsi" w:hAnsiTheme="minorHAnsi" w:cstheme="minorBidi"/>
                <w:sz w:val="22"/>
                <w:szCs w:val="22"/>
              </w:rPr>
            </w:pPr>
            <w:r>
              <w:rPr>
                <w:rFonts w:eastAsia="方正仿宋_GBK" w:asciiTheme="minorHAnsi" w:hAnsiTheme="minorHAnsi" w:cstheme="minorBidi"/>
                <w:sz w:val="22"/>
                <w:szCs w:val="22"/>
              </w:rPr>
              <w:t>35千伏</w:t>
            </w:r>
          </w:p>
        </w:tc>
        <w:tc>
          <w:tcPr>
            <w:tcW w:w="673" w:type="pct"/>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689" w:type="pct"/>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55"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55"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18"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c>
          <w:tcPr>
            <w:tcW w:w="733" w:type="pct"/>
            <w:tcBorders>
              <w:right w:val="single" w:color="auto" w:sz="4" w:space="0"/>
            </w:tcBorders>
            <w:vAlign w:val="center"/>
          </w:tcPr>
          <w:p>
            <w:pPr>
              <w:widowControl/>
              <w:kinsoku w:val="0"/>
              <w:overflowPunct w:val="0"/>
              <w:spacing w:line="500" w:lineRule="exact"/>
              <w:jc w:val="center"/>
              <w:rPr>
                <w:rFonts w:eastAsia="方正仿宋_GBK" w:asciiTheme="minorHAnsi" w:hAnsiTheme="minorHAnsi" w:cstheme="minorBidi"/>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7"/>
            <w:tcBorders>
              <w:right w:val="single" w:color="auto" w:sz="4" w:space="0"/>
            </w:tcBorders>
          </w:tcPr>
          <w:p>
            <w:pPr>
              <w:spacing w:line="500" w:lineRule="exact"/>
              <w:rPr>
                <w:rFonts w:eastAsia="方正仿宋_GBK" w:asciiTheme="minorHAnsi" w:hAnsiTheme="minorHAnsi" w:cstheme="minorBidi"/>
                <w:sz w:val="22"/>
                <w:szCs w:val="22"/>
              </w:rPr>
            </w:pPr>
            <w:r>
              <w:rPr>
                <w:rFonts w:eastAsia="方正仿宋_GBK" w:asciiTheme="minorHAnsi" w:hAnsiTheme="minorHAnsi" w:cstheme="minorBidi"/>
                <w:sz w:val="22"/>
                <w:szCs w:val="22"/>
              </w:rPr>
              <w:t>注：1、输配电费、政府基金及附加</w:t>
            </w:r>
            <w:r>
              <w:rPr>
                <w:rFonts w:hint="eastAsia" w:eastAsia="方正仿宋_GBK" w:asciiTheme="minorHAnsi" w:hAnsiTheme="minorHAnsi" w:cstheme="minorBidi"/>
                <w:sz w:val="22"/>
                <w:szCs w:val="22"/>
              </w:rPr>
              <w:t>、时段划分</w:t>
            </w:r>
            <w:r>
              <w:rPr>
                <w:rFonts w:eastAsia="方正仿宋_GBK" w:asciiTheme="minorHAnsi" w:hAnsiTheme="minorHAnsi" w:cstheme="minorBidi"/>
                <w:sz w:val="22"/>
                <w:szCs w:val="22"/>
              </w:rPr>
              <w:t>等按政府现行文件执行。</w:t>
            </w:r>
            <w:r>
              <w:rPr>
                <w:rFonts w:eastAsia="方正仿宋_GBK" w:asciiTheme="minorHAnsi" w:hAnsiTheme="minorHAnsi" w:cstheme="minorBidi"/>
                <w:sz w:val="22"/>
                <w:szCs w:val="22"/>
              </w:rPr>
              <w:br w:type="textWrapping"/>
            </w:r>
            <w:r>
              <w:rPr>
                <w:rFonts w:eastAsia="方正仿宋_GBK" w:asciiTheme="minorHAnsi" w:hAnsiTheme="minorHAnsi" w:cstheme="minorBidi"/>
                <w:sz w:val="22"/>
                <w:szCs w:val="22"/>
              </w:rPr>
              <w:t xml:space="preserve">    2、用户最终落地价格不含变压器基本容量电费</w:t>
            </w:r>
            <w:r>
              <w:rPr>
                <w:rFonts w:hint="eastAsia" w:eastAsia="方正仿宋_GBK" w:asciiTheme="minorHAnsi" w:hAnsiTheme="minorHAnsi" w:cstheme="minorBidi"/>
                <w:sz w:val="22"/>
                <w:szCs w:val="22"/>
              </w:rPr>
              <w:t>，我公司变压器基本电费按</w:t>
            </w:r>
            <w:r>
              <w:rPr>
                <w:rFonts w:hint="eastAsia" w:eastAsia="方正仿宋_GBK" w:asciiTheme="minorHAnsi" w:hAnsiTheme="minorHAnsi" w:cstheme="minorBidi"/>
                <w:sz w:val="22"/>
                <w:szCs w:val="22"/>
                <w:u w:val="single"/>
              </w:rPr>
              <w:t>（明确容量/需量）</w:t>
            </w:r>
            <w:r>
              <w:rPr>
                <w:rFonts w:hint="eastAsia" w:eastAsia="方正仿宋_GBK" w:asciiTheme="minorHAnsi" w:hAnsiTheme="minorHAnsi" w:cstheme="minorBidi"/>
                <w:sz w:val="22"/>
                <w:szCs w:val="22"/>
              </w:rPr>
              <w:t>计收，计收标准为</w:t>
            </w:r>
            <w:r>
              <w:rPr>
                <w:rFonts w:hint="eastAsia" w:eastAsia="方正仿宋_GBK" w:asciiTheme="minorHAnsi" w:hAnsiTheme="minorHAnsi" w:cstheme="minorBidi"/>
                <w:sz w:val="22"/>
                <w:szCs w:val="22"/>
                <w:u w:val="single"/>
              </w:rPr>
              <w:t xml:space="preserve">   </w:t>
            </w:r>
            <w:r>
              <w:rPr>
                <w:rFonts w:hint="eastAsia" w:eastAsia="方正仿宋_GBK" w:asciiTheme="minorHAnsi" w:hAnsiTheme="minorHAnsi" w:cstheme="minorBidi"/>
                <w:sz w:val="22"/>
                <w:szCs w:val="22"/>
              </w:rPr>
              <w:t>元/千伏安/月</w:t>
            </w:r>
            <w:r>
              <w:rPr>
                <w:rFonts w:eastAsia="方正仿宋_GBK" w:asciiTheme="minorHAnsi" w:hAnsiTheme="minorHAnsi" w:cstheme="minorBidi"/>
                <w:sz w:val="22"/>
                <w:szCs w:val="22"/>
              </w:rPr>
              <w:t>。</w:t>
            </w:r>
          </w:p>
          <w:p>
            <w:pPr>
              <w:spacing w:line="500" w:lineRule="exact"/>
              <w:ind w:firstLine="440" w:firstLineChars="200"/>
              <w:rPr>
                <w:rFonts w:eastAsia="方正仿宋_GBK" w:asciiTheme="minorHAnsi" w:hAnsiTheme="minorHAnsi" w:cstheme="minorBidi"/>
                <w:sz w:val="22"/>
                <w:szCs w:val="22"/>
              </w:rPr>
            </w:pPr>
            <w:r>
              <w:rPr>
                <w:rFonts w:hint="eastAsia" w:eastAsia="方正仿宋_GBK" w:asciiTheme="minorHAnsi" w:hAnsiTheme="minorHAnsi" w:cstheme="minorBidi"/>
                <w:sz w:val="22"/>
                <w:szCs w:val="22"/>
              </w:rPr>
              <w:t>3、落地尖段电度电价为</w:t>
            </w:r>
            <w:r>
              <w:rPr>
                <w:rFonts w:hint="eastAsia" w:eastAsia="方正仿宋_GBK" w:asciiTheme="minorHAnsi" w:hAnsiTheme="minorHAnsi" w:cstheme="minorBidi"/>
                <w:sz w:val="22"/>
                <w:szCs w:val="22"/>
                <w:u w:val="single"/>
              </w:rPr>
              <w:t>B+C+D</w:t>
            </w:r>
            <w:r>
              <w:rPr>
                <w:rFonts w:hint="eastAsia" w:eastAsia="方正仿宋_GBK" w:asciiTheme="minorHAnsi" w:hAnsiTheme="minorHAnsi" w:cstheme="minorBidi"/>
                <w:sz w:val="22"/>
                <w:szCs w:val="22"/>
              </w:rPr>
              <w:t>元/</w:t>
            </w:r>
            <w:r>
              <w:rPr>
                <w:rFonts w:hint="eastAsia" w:ascii="方正楷体_GBK" w:hAnsi="方正楷体_GBK" w:eastAsia="方正楷体_GBK" w:cs="方正楷体_GBK"/>
                <w:sz w:val="22"/>
                <w:szCs w:val="22"/>
              </w:rPr>
              <w:t>kW.h</w:t>
            </w:r>
            <w:r>
              <w:rPr>
                <w:rFonts w:hint="eastAsia" w:eastAsia="方正仿宋_GBK" w:asciiTheme="minorHAnsi" w:hAnsiTheme="minorHAnsi" w:cstheme="minorBidi"/>
                <w:sz w:val="22"/>
                <w:szCs w:val="22"/>
              </w:rPr>
              <w:t>，峰段电度电价为</w:t>
            </w:r>
            <w:r>
              <w:rPr>
                <w:rFonts w:hint="eastAsia" w:eastAsia="方正仿宋_GBK" w:asciiTheme="minorHAnsi" w:hAnsiTheme="minorHAnsi" w:cstheme="minorBidi"/>
                <w:sz w:val="22"/>
                <w:szCs w:val="22"/>
                <w:u w:val="single"/>
              </w:rPr>
              <w:t>B+C+E</w:t>
            </w:r>
            <w:r>
              <w:rPr>
                <w:rFonts w:hint="eastAsia" w:eastAsia="方正仿宋_GBK" w:asciiTheme="minorHAnsi" w:hAnsiTheme="minorHAnsi" w:cstheme="minorBidi"/>
                <w:sz w:val="22"/>
                <w:szCs w:val="22"/>
              </w:rPr>
              <w:t>元/</w:t>
            </w:r>
            <w:r>
              <w:rPr>
                <w:rFonts w:hint="eastAsia" w:ascii="方正楷体_GBK" w:hAnsi="方正楷体_GBK" w:eastAsia="方正楷体_GBK" w:cs="方正楷体_GBK"/>
                <w:sz w:val="22"/>
                <w:szCs w:val="22"/>
              </w:rPr>
              <w:t>kW.h</w:t>
            </w:r>
            <w:r>
              <w:rPr>
                <w:rFonts w:hint="eastAsia" w:eastAsia="方正仿宋_GBK" w:asciiTheme="minorHAnsi" w:hAnsiTheme="minorHAnsi" w:cstheme="minorBidi"/>
                <w:sz w:val="22"/>
                <w:szCs w:val="22"/>
              </w:rPr>
              <w:t>，平段电度电价为</w:t>
            </w:r>
            <w:r>
              <w:rPr>
                <w:rFonts w:hint="eastAsia" w:eastAsia="方正仿宋_GBK" w:asciiTheme="minorHAnsi" w:hAnsiTheme="minorHAnsi" w:cstheme="minorBidi"/>
                <w:sz w:val="22"/>
                <w:szCs w:val="22"/>
                <w:u w:val="single"/>
              </w:rPr>
              <w:t>B+C+F</w:t>
            </w:r>
            <w:r>
              <w:rPr>
                <w:rFonts w:hint="eastAsia" w:eastAsia="方正仿宋_GBK" w:asciiTheme="minorHAnsi" w:hAnsiTheme="minorHAnsi" w:cstheme="minorBidi"/>
                <w:sz w:val="22"/>
                <w:szCs w:val="22"/>
              </w:rPr>
              <w:t>元/</w:t>
            </w:r>
            <w:r>
              <w:rPr>
                <w:rFonts w:hint="eastAsia" w:ascii="方正楷体_GBK" w:hAnsi="方正楷体_GBK" w:eastAsia="方正楷体_GBK" w:cs="方正楷体_GBK"/>
                <w:sz w:val="22"/>
                <w:szCs w:val="22"/>
              </w:rPr>
              <w:t>kW.h</w:t>
            </w:r>
            <w:r>
              <w:rPr>
                <w:rFonts w:hint="eastAsia" w:eastAsia="方正仿宋_GBK" w:asciiTheme="minorHAnsi" w:hAnsiTheme="minorHAnsi" w:cstheme="minorBidi"/>
                <w:sz w:val="22"/>
                <w:szCs w:val="22"/>
              </w:rPr>
              <w:t>，谷段电度电价为</w:t>
            </w:r>
            <w:r>
              <w:rPr>
                <w:rFonts w:hint="eastAsia" w:eastAsia="方正仿宋_GBK" w:asciiTheme="minorHAnsi" w:hAnsiTheme="minorHAnsi" w:cstheme="minorBidi"/>
                <w:sz w:val="22"/>
                <w:szCs w:val="22"/>
                <w:u w:val="single"/>
              </w:rPr>
              <w:t>B+C+G</w:t>
            </w:r>
            <w:r>
              <w:rPr>
                <w:rFonts w:hint="eastAsia" w:eastAsia="方正仿宋_GBK" w:asciiTheme="minorHAnsi" w:hAnsiTheme="minorHAnsi" w:cstheme="minorBidi"/>
                <w:sz w:val="22"/>
                <w:szCs w:val="22"/>
              </w:rPr>
              <w:t>元/</w:t>
            </w:r>
            <w:r>
              <w:rPr>
                <w:rFonts w:hint="eastAsia" w:ascii="方正楷体_GBK" w:hAnsi="方正楷体_GBK" w:eastAsia="方正楷体_GBK" w:cs="方正楷体_GBK"/>
                <w:sz w:val="22"/>
                <w:szCs w:val="22"/>
              </w:rPr>
              <w:t>kW.h</w:t>
            </w:r>
            <w:r>
              <w:rPr>
                <w:rFonts w:eastAsia="方正仿宋_GBK" w:asciiTheme="minorHAnsi" w:hAnsiTheme="minorHAnsi" w:cstheme="minorBidi"/>
                <w:sz w:val="22"/>
                <w:szCs w:val="22"/>
              </w:rPr>
              <w:t>。</w:t>
            </w:r>
          </w:p>
          <w:p>
            <w:pPr>
              <w:spacing w:line="500" w:lineRule="exact"/>
              <w:ind w:firstLine="440" w:firstLineChars="200"/>
              <w:rPr>
                <w:rFonts w:eastAsia="方正仿宋_GBK" w:asciiTheme="minorHAnsi" w:hAnsiTheme="minorHAnsi" w:cstheme="minorBidi"/>
                <w:sz w:val="22"/>
                <w:szCs w:val="22"/>
              </w:rPr>
            </w:pPr>
            <w:r>
              <w:rPr>
                <w:rFonts w:hint="eastAsia" w:eastAsia="方正仿宋_GBK" w:asciiTheme="minorHAnsi" w:hAnsiTheme="minorHAnsi" w:cstheme="minorBidi"/>
                <w:sz w:val="22"/>
                <w:szCs w:val="22"/>
              </w:rPr>
              <w:t>4、</w:t>
            </w:r>
            <w:r>
              <w:rPr>
                <w:rFonts w:eastAsia="方正仿宋_GBK" w:asciiTheme="minorHAnsi" w:hAnsiTheme="minorHAnsi" w:cstheme="minorBidi"/>
                <w:sz w:val="22"/>
                <w:szCs w:val="22"/>
              </w:rPr>
              <w:t>如遇政府政策文件调整，以调整后的政策为准。</w:t>
            </w:r>
          </w:p>
        </w:tc>
      </w:tr>
    </w:tbl>
    <w:p>
      <w:pPr>
        <w:pStyle w:val="94"/>
        <w:widowControl/>
        <w:tabs>
          <w:tab w:val="left" w:pos="1188"/>
        </w:tabs>
        <w:kinsoku w:val="0"/>
        <w:overflowPunct w:val="0"/>
        <w:spacing w:before="131" w:line="500" w:lineRule="exact"/>
        <w:ind w:left="1187" w:right="440" w:firstLine="440"/>
        <w:jc w:val="right"/>
        <w:rPr>
          <w:rFonts w:eastAsiaTheme="minorEastAsia"/>
          <w:sz w:val="22"/>
          <w:szCs w:val="22"/>
        </w:rPr>
      </w:pPr>
    </w:p>
    <w:p>
      <w:pPr>
        <w:widowControl/>
        <w:adjustRightInd w:val="0"/>
        <w:snapToGrid w:val="0"/>
        <w:spacing w:line="500" w:lineRule="exact"/>
        <w:ind w:firstLine="4340" w:firstLineChars="1550"/>
        <w:rPr>
          <w:rFonts w:eastAsia="楷体"/>
          <w:sz w:val="28"/>
          <w:szCs w:val="28"/>
        </w:rPr>
      </w:pPr>
    </w:p>
    <w:p>
      <w:pPr>
        <w:widowControl/>
        <w:adjustRightInd w:val="0"/>
        <w:snapToGrid w:val="0"/>
        <w:spacing w:line="500" w:lineRule="exact"/>
        <w:ind w:firstLine="4340" w:firstLineChars="1550"/>
        <w:rPr>
          <w:rFonts w:eastAsia="楷体"/>
          <w:sz w:val="28"/>
          <w:szCs w:val="28"/>
        </w:rPr>
      </w:pPr>
    </w:p>
    <w:p>
      <w:pPr>
        <w:widowControl/>
        <w:adjustRightInd w:val="0"/>
        <w:snapToGrid w:val="0"/>
        <w:spacing w:line="500" w:lineRule="exact"/>
        <w:ind w:firstLine="4340" w:firstLineChars="15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投标人名称（盖公章）：</w:t>
      </w:r>
    </w:p>
    <w:p>
      <w:pPr>
        <w:widowControl/>
        <w:adjustRightInd w:val="0"/>
        <w:snapToGrid w:val="0"/>
        <w:spacing w:line="500" w:lineRule="exact"/>
        <w:ind w:firstLine="4340" w:firstLineChars="15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w:t>
      </w:r>
    </w:p>
    <w:p>
      <w:pPr>
        <w:widowControl/>
        <w:adjustRightInd w:val="0"/>
        <w:snapToGrid w:val="0"/>
        <w:spacing w:line="500" w:lineRule="exact"/>
        <w:ind w:firstLine="4340" w:firstLineChars="15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widowControl/>
        <w:adjustRightInd w:val="0"/>
        <w:snapToGrid w:val="0"/>
        <w:spacing w:line="500" w:lineRule="exact"/>
        <w:ind w:firstLine="4340" w:firstLineChars="15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委托代理人姓名、职务：</w:t>
      </w:r>
    </w:p>
    <w:p>
      <w:pPr>
        <w:widowControl/>
        <w:adjustRightInd w:val="0"/>
        <w:snapToGrid w:val="0"/>
        <w:spacing w:line="500" w:lineRule="exact"/>
        <w:ind w:firstLine="4340" w:firstLineChars="15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传真：</w:t>
      </w:r>
    </w:p>
    <w:p>
      <w:pPr>
        <w:widowControl/>
        <w:adjustRightInd w:val="0"/>
        <w:snapToGrid w:val="0"/>
        <w:spacing w:line="500" w:lineRule="exact"/>
        <w:ind w:firstLine="4340" w:firstLineChars="15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w:t>
      </w:r>
    </w:p>
    <w:p>
      <w:pPr>
        <w:widowControl/>
        <w:adjustRightInd w:val="0"/>
        <w:snapToGrid w:val="0"/>
        <w:spacing w:line="500" w:lineRule="exact"/>
        <w:ind w:firstLine="4340" w:firstLineChars="1550"/>
        <w:rPr>
          <w:rFonts w:ascii="方正仿宋_GBK" w:hAnsi="方正仿宋_GBK" w:eastAsia="方正仿宋_GBK" w:cs="方正仿宋_GBK"/>
          <w:sz w:val="28"/>
          <w:szCs w:val="28"/>
        </w:rPr>
      </w:pPr>
    </w:p>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9</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B"/>
    <w:rsid w:val="000029D5"/>
    <w:rsid w:val="00003E04"/>
    <w:rsid w:val="000046AF"/>
    <w:rsid w:val="00004EA8"/>
    <w:rsid w:val="00007C7B"/>
    <w:rsid w:val="00015557"/>
    <w:rsid w:val="00021F81"/>
    <w:rsid w:val="000263DA"/>
    <w:rsid w:val="000355F1"/>
    <w:rsid w:val="00040BA2"/>
    <w:rsid w:val="000431A3"/>
    <w:rsid w:val="000444B1"/>
    <w:rsid w:val="000541CB"/>
    <w:rsid w:val="0006053A"/>
    <w:rsid w:val="00067722"/>
    <w:rsid w:val="00086BB8"/>
    <w:rsid w:val="00093C12"/>
    <w:rsid w:val="00094A57"/>
    <w:rsid w:val="000A0C39"/>
    <w:rsid w:val="000B249A"/>
    <w:rsid w:val="000B456F"/>
    <w:rsid w:val="000C27B0"/>
    <w:rsid w:val="000D220C"/>
    <w:rsid w:val="000D6601"/>
    <w:rsid w:val="000E4611"/>
    <w:rsid w:val="000E78CC"/>
    <w:rsid w:val="0010032A"/>
    <w:rsid w:val="0012731E"/>
    <w:rsid w:val="001311A2"/>
    <w:rsid w:val="001322AA"/>
    <w:rsid w:val="001366F0"/>
    <w:rsid w:val="0014424D"/>
    <w:rsid w:val="001459E0"/>
    <w:rsid w:val="00150B0E"/>
    <w:rsid w:val="001532E3"/>
    <w:rsid w:val="001537A5"/>
    <w:rsid w:val="00154209"/>
    <w:rsid w:val="00161681"/>
    <w:rsid w:val="00175A55"/>
    <w:rsid w:val="00193C2B"/>
    <w:rsid w:val="00194FC2"/>
    <w:rsid w:val="001A5AB7"/>
    <w:rsid w:val="001B53B5"/>
    <w:rsid w:val="001B5CEB"/>
    <w:rsid w:val="001B6812"/>
    <w:rsid w:val="001B752B"/>
    <w:rsid w:val="001D5BEF"/>
    <w:rsid w:val="001F1413"/>
    <w:rsid w:val="001F71AB"/>
    <w:rsid w:val="002042FB"/>
    <w:rsid w:val="00206428"/>
    <w:rsid w:val="002072E6"/>
    <w:rsid w:val="00213A70"/>
    <w:rsid w:val="00214AF4"/>
    <w:rsid w:val="00214DF0"/>
    <w:rsid w:val="00215346"/>
    <w:rsid w:val="00220ACA"/>
    <w:rsid w:val="00226097"/>
    <w:rsid w:val="00242D9D"/>
    <w:rsid w:val="00243784"/>
    <w:rsid w:val="00244027"/>
    <w:rsid w:val="0024418B"/>
    <w:rsid w:val="00246A90"/>
    <w:rsid w:val="002636B5"/>
    <w:rsid w:val="00266E27"/>
    <w:rsid w:val="0027183B"/>
    <w:rsid w:val="00287CAA"/>
    <w:rsid w:val="00297D21"/>
    <w:rsid w:val="002A0F27"/>
    <w:rsid w:val="002B13D7"/>
    <w:rsid w:val="002B1CAC"/>
    <w:rsid w:val="002B6ABF"/>
    <w:rsid w:val="002B6BB5"/>
    <w:rsid w:val="002B706B"/>
    <w:rsid w:val="002C20FD"/>
    <w:rsid w:val="002C5C98"/>
    <w:rsid w:val="002D4BA4"/>
    <w:rsid w:val="002D5CA5"/>
    <w:rsid w:val="002E3FB8"/>
    <w:rsid w:val="003051F0"/>
    <w:rsid w:val="00321149"/>
    <w:rsid w:val="0032345D"/>
    <w:rsid w:val="00331565"/>
    <w:rsid w:val="0033185B"/>
    <w:rsid w:val="00331ADB"/>
    <w:rsid w:val="00336574"/>
    <w:rsid w:val="00343E59"/>
    <w:rsid w:val="00350E94"/>
    <w:rsid w:val="003612EA"/>
    <w:rsid w:val="00362190"/>
    <w:rsid w:val="00363A3B"/>
    <w:rsid w:val="003729D3"/>
    <w:rsid w:val="0037681B"/>
    <w:rsid w:val="003806FB"/>
    <w:rsid w:val="00380A49"/>
    <w:rsid w:val="00381720"/>
    <w:rsid w:val="00382403"/>
    <w:rsid w:val="0038504A"/>
    <w:rsid w:val="003854BA"/>
    <w:rsid w:val="003926C6"/>
    <w:rsid w:val="00393543"/>
    <w:rsid w:val="00395B7B"/>
    <w:rsid w:val="003A28B9"/>
    <w:rsid w:val="003A3257"/>
    <w:rsid w:val="003C055B"/>
    <w:rsid w:val="003C2627"/>
    <w:rsid w:val="003C5DA7"/>
    <w:rsid w:val="003C6518"/>
    <w:rsid w:val="003C6D23"/>
    <w:rsid w:val="003E24C5"/>
    <w:rsid w:val="003E3DE9"/>
    <w:rsid w:val="003F1E23"/>
    <w:rsid w:val="003F3583"/>
    <w:rsid w:val="003F50F0"/>
    <w:rsid w:val="00402807"/>
    <w:rsid w:val="0040689B"/>
    <w:rsid w:val="00413F04"/>
    <w:rsid w:val="004208B7"/>
    <w:rsid w:val="0042606A"/>
    <w:rsid w:val="0043240B"/>
    <w:rsid w:val="00432CF2"/>
    <w:rsid w:val="0043491A"/>
    <w:rsid w:val="00450991"/>
    <w:rsid w:val="00467A27"/>
    <w:rsid w:val="004701C0"/>
    <w:rsid w:val="00477191"/>
    <w:rsid w:val="0048205C"/>
    <w:rsid w:val="00490506"/>
    <w:rsid w:val="00493336"/>
    <w:rsid w:val="004967DB"/>
    <w:rsid w:val="004A66FE"/>
    <w:rsid w:val="004B0B78"/>
    <w:rsid w:val="004B4654"/>
    <w:rsid w:val="004C43AC"/>
    <w:rsid w:val="004C5F76"/>
    <w:rsid w:val="004D15A3"/>
    <w:rsid w:val="004D2DA7"/>
    <w:rsid w:val="004E0AA4"/>
    <w:rsid w:val="004E18B4"/>
    <w:rsid w:val="004E3433"/>
    <w:rsid w:val="004E6E78"/>
    <w:rsid w:val="004F329C"/>
    <w:rsid w:val="004F5772"/>
    <w:rsid w:val="00512247"/>
    <w:rsid w:val="00533F28"/>
    <w:rsid w:val="00561E26"/>
    <w:rsid w:val="00562480"/>
    <w:rsid w:val="005654D3"/>
    <w:rsid w:val="0058176D"/>
    <w:rsid w:val="00593ADA"/>
    <w:rsid w:val="00596301"/>
    <w:rsid w:val="005A3BBD"/>
    <w:rsid w:val="005A40AA"/>
    <w:rsid w:val="005A4B9C"/>
    <w:rsid w:val="005B360F"/>
    <w:rsid w:val="005C44C2"/>
    <w:rsid w:val="005C72D5"/>
    <w:rsid w:val="005E2D10"/>
    <w:rsid w:val="005E49C0"/>
    <w:rsid w:val="005E4D52"/>
    <w:rsid w:val="005F5509"/>
    <w:rsid w:val="005F5979"/>
    <w:rsid w:val="005F5C54"/>
    <w:rsid w:val="00601200"/>
    <w:rsid w:val="00614121"/>
    <w:rsid w:val="00621879"/>
    <w:rsid w:val="00630F25"/>
    <w:rsid w:val="0063671A"/>
    <w:rsid w:val="00641007"/>
    <w:rsid w:val="00645AA2"/>
    <w:rsid w:val="006466EA"/>
    <w:rsid w:val="0065158B"/>
    <w:rsid w:val="00661B99"/>
    <w:rsid w:val="0066432D"/>
    <w:rsid w:val="0066542F"/>
    <w:rsid w:val="0066719E"/>
    <w:rsid w:val="006711FC"/>
    <w:rsid w:val="00677D22"/>
    <w:rsid w:val="00682078"/>
    <w:rsid w:val="00683EEF"/>
    <w:rsid w:val="0069188E"/>
    <w:rsid w:val="006958AB"/>
    <w:rsid w:val="006A3A73"/>
    <w:rsid w:val="006B4380"/>
    <w:rsid w:val="006B55A1"/>
    <w:rsid w:val="006C3A47"/>
    <w:rsid w:val="006C6204"/>
    <w:rsid w:val="006D2293"/>
    <w:rsid w:val="006D4DC4"/>
    <w:rsid w:val="006D54A7"/>
    <w:rsid w:val="006E030B"/>
    <w:rsid w:val="006E4068"/>
    <w:rsid w:val="006F63F5"/>
    <w:rsid w:val="00703DD3"/>
    <w:rsid w:val="00711C7A"/>
    <w:rsid w:val="00734BD5"/>
    <w:rsid w:val="00735C08"/>
    <w:rsid w:val="00746225"/>
    <w:rsid w:val="00757B95"/>
    <w:rsid w:val="00774BE4"/>
    <w:rsid w:val="00794333"/>
    <w:rsid w:val="007A0D62"/>
    <w:rsid w:val="007B0DC5"/>
    <w:rsid w:val="007C1FAA"/>
    <w:rsid w:val="007D71DF"/>
    <w:rsid w:val="007E1551"/>
    <w:rsid w:val="007E682D"/>
    <w:rsid w:val="007F0A60"/>
    <w:rsid w:val="007F6684"/>
    <w:rsid w:val="008001AC"/>
    <w:rsid w:val="0081774D"/>
    <w:rsid w:val="008204BA"/>
    <w:rsid w:val="00823E1B"/>
    <w:rsid w:val="008240B5"/>
    <w:rsid w:val="00824E1C"/>
    <w:rsid w:val="008332D2"/>
    <w:rsid w:val="00834D1D"/>
    <w:rsid w:val="008545D4"/>
    <w:rsid w:val="00860E95"/>
    <w:rsid w:val="00863C27"/>
    <w:rsid w:val="00865C75"/>
    <w:rsid w:val="00867DEC"/>
    <w:rsid w:val="008823B4"/>
    <w:rsid w:val="008A4062"/>
    <w:rsid w:val="008B2C47"/>
    <w:rsid w:val="008C0EFE"/>
    <w:rsid w:val="008C188B"/>
    <w:rsid w:val="008C4C6B"/>
    <w:rsid w:val="008D2EC5"/>
    <w:rsid w:val="008E5D6D"/>
    <w:rsid w:val="008E6412"/>
    <w:rsid w:val="008F22DD"/>
    <w:rsid w:val="008F4D38"/>
    <w:rsid w:val="00924E3A"/>
    <w:rsid w:val="00935652"/>
    <w:rsid w:val="009413C9"/>
    <w:rsid w:val="00941495"/>
    <w:rsid w:val="009637A7"/>
    <w:rsid w:val="00992B54"/>
    <w:rsid w:val="00993556"/>
    <w:rsid w:val="00994139"/>
    <w:rsid w:val="009952DC"/>
    <w:rsid w:val="009A0F7F"/>
    <w:rsid w:val="009A4C46"/>
    <w:rsid w:val="009B0F14"/>
    <w:rsid w:val="009B5EC5"/>
    <w:rsid w:val="009C3D29"/>
    <w:rsid w:val="009C3D55"/>
    <w:rsid w:val="009C6363"/>
    <w:rsid w:val="009C63B1"/>
    <w:rsid w:val="009D09FB"/>
    <w:rsid w:val="009D0D78"/>
    <w:rsid w:val="009D5F2A"/>
    <w:rsid w:val="009F168D"/>
    <w:rsid w:val="00A009C6"/>
    <w:rsid w:val="00A00B8B"/>
    <w:rsid w:val="00A01979"/>
    <w:rsid w:val="00A02A32"/>
    <w:rsid w:val="00A02B0D"/>
    <w:rsid w:val="00A076CC"/>
    <w:rsid w:val="00A237D4"/>
    <w:rsid w:val="00A41CCA"/>
    <w:rsid w:val="00A47D84"/>
    <w:rsid w:val="00A52163"/>
    <w:rsid w:val="00A547F0"/>
    <w:rsid w:val="00A72A65"/>
    <w:rsid w:val="00A73372"/>
    <w:rsid w:val="00A862A4"/>
    <w:rsid w:val="00A875FD"/>
    <w:rsid w:val="00A9266B"/>
    <w:rsid w:val="00A93E2D"/>
    <w:rsid w:val="00AA304B"/>
    <w:rsid w:val="00AA3DB8"/>
    <w:rsid w:val="00AA5D98"/>
    <w:rsid w:val="00AA687D"/>
    <w:rsid w:val="00AA6ABD"/>
    <w:rsid w:val="00AB5E63"/>
    <w:rsid w:val="00AC025E"/>
    <w:rsid w:val="00AC56A1"/>
    <w:rsid w:val="00AD5D5C"/>
    <w:rsid w:val="00AE194A"/>
    <w:rsid w:val="00AE7BB3"/>
    <w:rsid w:val="00B01408"/>
    <w:rsid w:val="00B20BEA"/>
    <w:rsid w:val="00B25712"/>
    <w:rsid w:val="00B3076F"/>
    <w:rsid w:val="00B3130B"/>
    <w:rsid w:val="00B366C7"/>
    <w:rsid w:val="00B368A9"/>
    <w:rsid w:val="00B42965"/>
    <w:rsid w:val="00B4653F"/>
    <w:rsid w:val="00B56230"/>
    <w:rsid w:val="00B756B2"/>
    <w:rsid w:val="00B8104F"/>
    <w:rsid w:val="00B854D7"/>
    <w:rsid w:val="00B85A07"/>
    <w:rsid w:val="00B868F4"/>
    <w:rsid w:val="00B86987"/>
    <w:rsid w:val="00B9628A"/>
    <w:rsid w:val="00BA0325"/>
    <w:rsid w:val="00BA1E5B"/>
    <w:rsid w:val="00BB7003"/>
    <w:rsid w:val="00BB73A4"/>
    <w:rsid w:val="00BD16EB"/>
    <w:rsid w:val="00BD5A59"/>
    <w:rsid w:val="00BE1F79"/>
    <w:rsid w:val="00BE424C"/>
    <w:rsid w:val="00BE5BB3"/>
    <w:rsid w:val="00BE6A7E"/>
    <w:rsid w:val="00BF414D"/>
    <w:rsid w:val="00C02FFC"/>
    <w:rsid w:val="00C0316E"/>
    <w:rsid w:val="00C05C6E"/>
    <w:rsid w:val="00C20F22"/>
    <w:rsid w:val="00C24743"/>
    <w:rsid w:val="00C25BA5"/>
    <w:rsid w:val="00C268F6"/>
    <w:rsid w:val="00C37734"/>
    <w:rsid w:val="00C40464"/>
    <w:rsid w:val="00C43451"/>
    <w:rsid w:val="00C47BDC"/>
    <w:rsid w:val="00C5680E"/>
    <w:rsid w:val="00C5759D"/>
    <w:rsid w:val="00C711E4"/>
    <w:rsid w:val="00C97E1B"/>
    <w:rsid w:val="00CA003B"/>
    <w:rsid w:val="00CA03FB"/>
    <w:rsid w:val="00CA72EF"/>
    <w:rsid w:val="00CA7DC4"/>
    <w:rsid w:val="00CB11D3"/>
    <w:rsid w:val="00CB7F79"/>
    <w:rsid w:val="00CC1651"/>
    <w:rsid w:val="00CC3A88"/>
    <w:rsid w:val="00CD1907"/>
    <w:rsid w:val="00CD4516"/>
    <w:rsid w:val="00CE4754"/>
    <w:rsid w:val="00CF14C1"/>
    <w:rsid w:val="00CF22D6"/>
    <w:rsid w:val="00CF3A57"/>
    <w:rsid w:val="00D005B1"/>
    <w:rsid w:val="00D0493F"/>
    <w:rsid w:val="00D202F9"/>
    <w:rsid w:val="00D20678"/>
    <w:rsid w:val="00D2651A"/>
    <w:rsid w:val="00D32FE7"/>
    <w:rsid w:val="00D33791"/>
    <w:rsid w:val="00D35F23"/>
    <w:rsid w:val="00D44840"/>
    <w:rsid w:val="00D53067"/>
    <w:rsid w:val="00D53996"/>
    <w:rsid w:val="00D57828"/>
    <w:rsid w:val="00D642EF"/>
    <w:rsid w:val="00D77B20"/>
    <w:rsid w:val="00D867DF"/>
    <w:rsid w:val="00D916DF"/>
    <w:rsid w:val="00DA0BD0"/>
    <w:rsid w:val="00DA2712"/>
    <w:rsid w:val="00DA5D39"/>
    <w:rsid w:val="00DB55E0"/>
    <w:rsid w:val="00DB75BA"/>
    <w:rsid w:val="00DB7619"/>
    <w:rsid w:val="00DB7700"/>
    <w:rsid w:val="00DD40AA"/>
    <w:rsid w:val="00DE5DAB"/>
    <w:rsid w:val="00E06DE3"/>
    <w:rsid w:val="00E10FE8"/>
    <w:rsid w:val="00E1781C"/>
    <w:rsid w:val="00E20D58"/>
    <w:rsid w:val="00E445BF"/>
    <w:rsid w:val="00E7179B"/>
    <w:rsid w:val="00E84B65"/>
    <w:rsid w:val="00E84CC1"/>
    <w:rsid w:val="00E85519"/>
    <w:rsid w:val="00E90370"/>
    <w:rsid w:val="00E926E2"/>
    <w:rsid w:val="00EA18A3"/>
    <w:rsid w:val="00EA629C"/>
    <w:rsid w:val="00EB7958"/>
    <w:rsid w:val="00EB7FA4"/>
    <w:rsid w:val="00EC1409"/>
    <w:rsid w:val="00EC5716"/>
    <w:rsid w:val="00EE6C9A"/>
    <w:rsid w:val="00F01DAF"/>
    <w:rsid w:val="00F02669"/>
    <w:rsid w:val="00F0751D"/>
    <w:rsid w:val="00F24A4E"/>
    <w:rsid w:val="00F267E7"/>
    <w:rsid w:val="00F2707F"/>
    <w:rsid w:val="00F27E42"/>
    <w:rsid w:val="00F33187"/>
    <w:rsid w:val="00F3472F"/>
    <w:rsid w:val="00F34A53"/>
    <w:rsid w:val="00F36F09"/>
    <w:rsid w:val="00F4345B"/>
    <w:rsid w:val="00F47FCB"/>
    <w:rsid w:val="00F64AC0"/>
    <w:rsid w:val="00F64D8F"/>
    <w:rsid w:val="00F67567"/>
    <w:rsid w:val="00F67A47"/>
    <w:rsid w:val="00F810E0"/>
    <w:rsid w:val="00F8306A"/>
    <w:rsid w:val="00F869BE"/>
    <w:rsid w:val="00F93B0A"/>
    <w:rsid w:val="00F9484D"/>
    <w:rsid w:val="00F95FDC"/>
    <w:rsid w:val="00FA1B6E"/>
    <w:rsid w:val="00FA23DB"/>
    <w:rsid w:val="00FA3518"/>
    <w:rsid w:val="00FB31B8"/>
    <w:rsid w:val="00FB4CDE"/>
    <w:rsid w:val="00FC1E81"/>
    <w:rsid w:val="00FC204D"/>
    <w:rsid w:val="00FD1F8A"/>
    <w:rsid w:val="00FD385E"/>
    <w:rsid w:val="00FE048B"/>
    <w:rsid w:val="03460F87"/>
    <w:rsid w:val="04A4699F"/>
    <w:rsid w:val="083D3E5D"/>
    <w:rsid w:val="0DA75089"/>
    <w:rsid w:val="0E99135C"/>
    <w:rsid w:val="0FC14B2B"/>
    <w:rsid w:val="10E074D2"/>
    <w:rsid w:val="121B72D8"/>
    <w:rsid w:val="15074478"/>
    <w:rsid w:val="151F37C9"/>
    <w:rsid w:val="17EE4ED5"/>
    <w:rsid w:val="1A6A0AA0"/>
    <w:rsid w:val="208661EF"/>
    <w:rsid w:val="21C32459"/>
    <w:rsid w:val="244577A8"/>
    <w:rsid w:val="2878105D"/>
    <w:rsid w:val="2CE20C2E"/>
    <w:rsid w:val="2D947521"/>
    <w:rsid w:val="37C02716"/>
    <w:rsid w:val="37C2262F"/>
    <w:rsid w:val="39D74F80"/>
    <w:rsid w:val="3A907CF1"/>
    <w:rsid w:val="3AF45CFC"/>
    <w:rsid w:val="3B430319"/>
    <w:rsid w:val="3CB156F2"/>
    <w:rsid w:val="3FBE01FE"/>
    <w:rsid w:val="44EB7CEF"/>
    <w:rsid w:val="45776D83"/>
    <w:rsid w:val="45B60040"/>
    <w:rsid w:val="54B35D93"/>
    <w:rsid w:val="5E02594A"/>
    <w:rsid w:val="5E656ED9"/>
    <w:rsid w:val="5F0C4A09"/>
    <w:rsid w:val="61DD306B"/>
    <w:rsid w:val="64B02A13"/>
    <w:rsid w:val="65F86D53"/>
    <w:rsid w:val="69316AA3"/>
    <w:rsid w:val="6B244EBB"/>
    <w:rsid w:val="7A085054"/>
    <w:rsid w:val="7B7D0614"/>
    <w:rsid w:val="7CD83559"/>
    <w:rsid w:val="7E8138C5"/>
    <w:rsid w:val="7F1C2A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0"/>
    <w:rPr>
      <w:rFonts w:eastAsia="仿宋_GB2312"/>
      <w:kern w:val="0"/>
      <w:sz w:val="28"/>
      <w:szCs w:val="20"/>
    </w:rPr>
  </w:style>
  <w:style w:type="paragraph" w:styleId="5">
    <w:name w:val="Balloon Text"/>
    <w:basedOn w:val="1"/>
    <w:link w:val="20"/>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FollowedHyperlink"/>
    <w:basedOn w:val="10"/>
    <w:unhideWhenUsed/>
    <w:qFormat/>
    <w:uiPriority w:val="99"/>
    <w:rPr>
      <w:color w:val="800080"/>
      <w:u w:val="single"/>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0"/>
    <w:rPr>
      <w:rFonts w:ascii="Arial" w:hAnsi="Arial" w:eastAsia="黑体" w:cs="Times New Roman"/>
      <w:b/>
      <w:bCs/>
      <w:kern w:val="0"/>
      <w:sz w:val="32"/>
      <w:szCs w:val="32"/>
    </w:rPr>
  </w:style>
  <w:style w:type="character" w:customStyle="1" w:styleId="14">
    <w:name w:val="正文文本 Char"/>
    <w:basedOn w:val="10"/>
    <w:semiHidden/>
    <w:qFormat/>
    <w:uiPriority w:val="99"/>
    <w:rPr>
      <w:rFonts w:ascii="Times New Roman" w:hAnsi="Times New Roman" w:eastAsia="宋体" w:cs="Times New Roman"/>
      <w:szCs w:val="24"/>
    </w:rPr>
  </w:style>
  <w:style w:type="character" w:customStyle="1" w:styleId="15">
    <w:name w:val="正文文本 字符"/>
    <w:link w:val="4"/>
    <w:qFormat/>
    <w:locked/>
    <w:uiPriority w:val="0"/>
    <w:rPr>
      <w:rFonts w:ascii="Times New Roman" w:hAnsi="Times New Roman" w:eastAsia="仿宋_GB2312" w:cs="Times New Roman"/>
      <w:kern w:val="0"/>
      <w:sz w:val="28"/>
      <w:szCs w:val="20"/>
    </w:rPr>
  </w:style>
  <w:style w:type="character" w:customStyle="1" w:styleId="16">
    <w:name w:val="页脚 字符"/>
    <w:basedOn w:val="10"/>
    <w:link w:val="6"/>
    <w:qFormat/>
    <w:uiPriority w:val="99"/>
    <w:rPr>
      <w:rFonts w:ascii="Times New Roman" w:hAnsi="Times New Roman" w:eastAsia="宋体" w:cs="Times New Roman"/>
      <w:kern w:val="0"/>
      <w:sz w:val="18"/>
      <w:szCs w:val="18"/>
    </w:rPr>
  </w:style>
  <w:style w:type="paragraph" w:customStyle="1" w:styleId="17">
    <w:name w:val="列出段落1"/>
    <w:basedOn w:val="1"/>
    <w:qFormat/>
    <w:uiPriority w:val="34"/>
    <w:pPr>
      <w:ind w:firstLine="420" w:firstLineChars="200"/>
    </w:pPr>
  </w:style>
  <w:style w:type="character" w:customStyle="1" w:styleId="18">
    <w:name w:val="标题 3 字符"/>
    <w:basedOn w:val="10"/>
    <w:link w:val="3"/>
    <w:semiHidden/>
    <w:qFormat/>
    <w:uiPriority w:val="9"/>
    <w:rPr>
      <w:rFonts w:ascii="Times New Roman" w:hAnsi="Times New Roman" w:eastAsia="宋体" w:cs="Times New Roman"/>
      <w:b/>
      <w:bCs/>
      <w:sz w:val="32"/>
      <w:szCs w:val="32"/>
    </w:rPr>
  </w:style>
  <w:style w:type="character" w:customStyle="1" w:styleId="19">
    <w:name w:val="页眉 字符"/>
    <w:basedOn w:val="10"/>
    <w:link w:val="7"/>
    <w:qFormat/>
    <w:uiPriority w:val="99"/>
    <w:rPr>
      <w:rFonts w:ascii="Times New Roman" w:hAnsi="Times New Roman" w:eastAsia="宋体" w:cs="Times New Roman"/>
      <w:sz w:val="18"/>
      <w:szCs w:val="18"/>
    </w:rPr>
  </w:style>
  <w:style w:type="character" w:customStyle="1" w:styleId="20">
    <w:name w:val="批注框文本 字符"/>
    <w:basedOn w:val="10"/>
    <w:link w:val="5"/>
    <w:semiHidden/>
    <w:qFormat/>
    <w:uiPriority w:val="99"/>
    <w:rPr>
      <w:rFonts w:ascii="Times New Roman" w:hAnsi="Times New Roman" w:eastAsia="宋体" w:cs="Times New Roman"/>
      <w:sz w:val="18"/>
      <w:szCs w:val="18"/>
    </w:rPr>
  </w:style>
  <w:style w:type="paragraph" w:customStyle="1" w:styleId="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4">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xl120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6">
    <w:name w:val="xl1203"/>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7">
    <w:name w:val="xl1204"/>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8">
    <w:name w:val="xl1205"/>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9">
    <w:name w:val="xl120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30">
    <w:name w:val="xl12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1">
    <w:name w:val="xl1208"/>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2">
    <w:name w:val="xl1209"/>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3">
    <w:name w:val="xl1210"/>
    <w:basedOn w:val="1"/>
    <w:qFormat/>
    <w:uiPriority w:val="0"/>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4">
    <w:name w:val="xl1211"/>
    <w:basedOn w:val="1"/>
    <w:qFormat/>
    <w:uiPriority w:val="0"/>
    <w:pPr>
      <w:widowControl/>
      <w:shd w:val="clear" w:color="000000" w:fill="FFFFFF"/>
      <w:spacing w:before="100" w:beforeAutospacing="1" w:after="100" w:afterAutospacing="1"/>
      <w:jc w:val="center"/>
    </w:pPr>
    <w:rPr>
      <w:rFonts w:ascii="黑体" w:hAnsi="黑体" w:eastAsia="黑体" w:cs="宋体"/>
      <w:b/>
      <w:bCs/>
      <w:color w:val="000000"/>
      <w:kern w:val="0"/>
      <w:sz w:val="36"/>
      <w:szCs w:val="36"/>
    </w:rPr>
  </w:style>
  <w:style w:type="paragraph" w:customStyle="1" w:styleId="35">
    <w:name w:val="xl1212"/>
    <w:basedOn w:val="1"/>
    <w:qFormat/>
    <w:uiPriority w:val="0"/>
    <w:pPr>
      <w:widowControl/>
      <w:pBdr>
        <w:bottom w:val="single" w:color="auto" w:sz="4" w:space="0"/>
      </w:pBdr>
      <w:shd w:val="clear" w:color="000000" w:fill="FFFFFF"/>
      <w:spacing w:before="100" w:beforeAutospacing="1" w:after="100" w:afterAutospacing="1"/>
      <w:jc w:val="left"/>
    </w:pPr>
    <w:rPr>
      <w:rFonts w:ascii="黑体" w:hAnsi="黑体" w:eastAsia="黑体" w:cs="宋体"/>
      <w:color w:val="000000"/>
      <w:kern w:val="0"/>
      <w:sz w:val="20"/>
      <w:szCs w:val="20"/>
    </w:rPr>
  </w:style>
  <w:style w:type="paragraph" w:customStyle="1" w:styleId="36">
    <w:name w:val="xl1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7">
    <w:name w:val="xl1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8">
    <w:name w:val="xl1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
    <w:name w:val="xl1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
    <w:name w:val="xl121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1">
    <w:name w:val="xl1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2">
    <w:name w:val="xl1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3">
    <w:name w:val="xl1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4">
    <w:name w:val="xl1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5">
    <w:name w:val="xl122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6">
    <w:name w:val="xl1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xl1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12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
    <w:name w:val="xl122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50">
    <w:name w:val="xl1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1">
    <w:name w:val="xl1228"/>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2">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4">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5">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
    <w:name w:val="xl1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7">
    <w:name w:val="xl12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
    <w:name w:val="xl1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9">
    <w:name w:val="xl1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0">
    <w:name w:val="xl1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
    <w:name w:val="xl1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2">
    <w:name w:val="xl12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3">
    <w:name w:val="xl1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
    <w:name w:val="xl1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
    <w:name w:val="xl123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6">
    <w:name w:val="xl1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7">
    <w:name w:val="xl1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
    <w:name w:val="xl1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9">
    <w:name w:val="xl124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70">
    <w:name w:val="xl1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1">
    <w:name w:val="xl1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2">
    <w:name w:val="xl1245"/>
    <w:basedOn w:val="1"/>
    <w:qFormat/>
    <w:uiPriority w:val="0"/>
    <w:pPr>
      <w:widowControl/>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3">
    <w:name w:val="xl1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
    <w:name w:val="xl1247"/>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75">
    <w:name w:val="xl1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6">
    <w:name w:val="xl1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7">
    <w:name w:val="xl1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
    <w:name w:val="xl1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9">
    <w:name w:val="xl1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0">
    <w:name w:val="xl1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1">
    <w:name w:val="xl1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
    <w:name w:val="xl1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3">
    <w:name w:val="xl1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84">
    <w:name w:val="xl1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
    <w:name w:val="xl1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6">
    <w:name w:val="xl1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7">
    <w:name w:val="xl1260"/>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8">
    <w:name w:val="xl1261"/>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89">
    <w:name w:val="xl126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0">
    <w:name w:val="xl1263"/>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1">
    <w:name w:val="xl1264"/>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92">
    <w:name w:val="xl1265"/>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93">
    <w:name w:val="xl1266"/>
    <w:basedOn w:val="1"/>
    <w:qFormat/>
    <w:uiPriority w:val="0"/>
    <w:pPr>
      <w:widowControl/>
      <w:shd w:val="clear" w:color="000000" w:fill="FFFFFF"/>
      <w:spacing w:before="100" w:beforeAutospacing="1" w:after="100" w:afterAutospacing="1"/>
      <w:jc w:val="left"/>
    </w:pPr>
    <w:rPr>
      <w:rFonts w:ascii="宋体" w:hAnsi="宋体" w:cs="宋体"/>
      <w:b/>
      <w:bCs/>
      <w:kern w:val="0"/>
      <w:sz w:val="18"/>
      <w:szCs w:val="18"/>
    </w:rPr>
  </w:style>
  <w:style w:type="paragraph" w:styleId="94">
    <w:name w:val="List Paragraph"/>
    <w:basedOn w:val="1"/>
    <w:qFormat/>
    <w:uiPriority w:val="1"/>
    <w:pPr>
      <w:ind w:firstLine="420" w:firstLineChars="200"/>
    </w:pPr>
  </w:style>
  <w:style w:type="paragraph" w:customStyle="1" w:styleId="95">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76E0-7859-45C0-8993-B6ECDD4820B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1227</Words>
  <Characters>6998</Characters>
  <Lines>58</Lines>
  <Paragraphs>16</Paragraphs>
  <TotalTime>16</TotalTime>
  <ScaleCrop>false</ScaleCrop>
  <LinksUpToDate>false</LinksUpToDate>
  <CharactersWithSpaces>8209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2023-02-22T03:17:00Z</dcterms:created>
  <dc:creator>Sky123.Org</dc:creator>
  <cp:lastModifiedBy>吴世展</cp:lastModifiedBy>
  <cp:lastPrinted>2023-02-21T01:11:00Z</cp:lastPrinted>
  <dcterms:modified xsi:type="dcterms:W3CDTF">2023-02-23T08:26:22Z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448B391005404AB9AE99291D6D2EB928</vt:lpwstr>
  </property>
</Properties>
</file>